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keepNext w:val="true"/>
        <w:numPr>
          <w:ilvl w:val="0"/>
          <w:numId w:val="2"/>
        </w:numPr>
        <w:spacing w:before="240" w:after="120" w:line="240"/>
        <w:ind w:right="0" w:left="1531"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2F5496"/>
          <w:spacing w:val="0"/>
          <w:position w:val="0"/>
          <w:sz w:val="32"/>
          <w:shd w:fill="auto" w:val="clear"/>
        </w:rPr>
        <w:t xml:space="preserve">4. Membres et tissu cutané</w:t>
      </w:r>
    </w:p>
    <w:p>
      <w:pPr>
        <w:keepNext w:val="true"/>
        <w:numPr>
          <w:ilvl w:val="0"/>
          <w:numId w:val="2"/>
        </w:numPr>
        <w:spacing w:before="200" w:after="120" w:line="240"/>
        <w:ind w:right="0" w:left="1871" w:firstLine="0"/>
        <w:jc w:val="left"/>
        <w:rPr>
          <w:rFonts w:ascii="Times New Roman" w:hAnsi="Times New Roman" w:cs="Times New Roman" w:eastAsia="Times New Roman"/>
          <w:b/>
          <w:color w:val="002060"/>
          <w:spacing w:val="0"/>
          <w:position w:val="0"/>
          <w:sz w:val="28"/>
          <w:shd w:fill="auto" w:val="clear"/>
        </w:rPr>
      </w:pPr>
      <w:r>
        <w:rPr>
          <w:rFonts w:ascii="Times New Roman" w:hAnsi="Times New Roman" w:cs="Times New Roman" w:eastAsia="Times New Roman"/>
          <w:b/>
          <w:color w:val="2F5496"/>
          <w:spacing w:val="0"/>
          <w:position w:val="0"/>
          <w:sz w:val="28"/>
          <w:shd w:fill="auto" w:val="clear"/>
        </w:rPr>
        <w:t xml:space="preserve">4.1. L’appareil locomoteur</w:t>
      </w:r>
    </w:p>
    <w:p>
      <w:pPr>
        <w:keepNext w:val="true"/>
        <w:numPr>
          <w:ilvl w:val="0"/>
          <w:numId w:val="2"/>
        </w:numPr>
        <w:spacing w:before="140" w:after="120" w:line="240"/>
        <w:ind w:right="0" w:left="2268" w:firstLine="0"/>
        <w:jc w:val="left"/>
        <w:rPr>
          <w:rFonts w:ascii="Times New Roman" w:hAnsi="Times New Roman" w:cs="Times New Roman" w:eastAsia="Times New Roman"/>
          <w:b/>
          <w:color w:val="A84A9D"/>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4.1.1. Anatomie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Physiologie</w:t>
      </w:r>
    </w:p>
    <w:p>
      <w:pPr>
        <w:keepNext w:val="true"/>
        <w:numPr>
          <w:ilvl w:val="0"/>
          <w:numId w:val="2"/>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4.1.1.1. Les os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L’ensemble des os constitue </w:t>
      </w:r>
      <w:r>
        <w:rPr>
          <w:rFonts w:ascii="Times New Roman" w:hAnsi="Times New Roman" w:cs="Times New Roman" w:eastAsia="Times New Roman"/>
          <w:color w:val="000000"/>
          <w:spacing w:val="0"/>
          <w:position w:val="0"/>
          <w:sz w:val="22"/>
          <w:shd w:fill="auto" w:val="clear"/>
        </w:rPr>
        <w:t xml:space="preserve">le </w:t>
      </w:r>
      <w:r>
        <w:rPr>
          <w:rFonts w:ascii="Times New Roman" w:hAnsi="Times New Roman" w:cs="Times New Roman" w:eastAsia="Times New Roman"/>
          <w:b/>
          <w:color w:val="000000"/>
          <w:spacing w:val="0"/>
          <w:position w:val="0"/>
          <w:sz w:val="22"/>
          <w:shd w:fill="auto" w:val="clear"/>
        </w:rPr>
        <w:t xml:space="preserve">squelette</w:t>
      </w:r>
      <w:r>
        <w:rPr>
          <w:rFonts w:ascii="Times New Roman" w:hAnsi="Times New Roman" w:cs="Times New Roman" w:eastAsia="Times New Roman"/>
          <w:color w:val="000000"/>
          <w:spacing w:val="0"/>
          <w:position w:val="0"/>
          <w:sz w:val="22"/>
          <w:shd w:fill="auto" w:val="clear"/>
        </w:rPr>
        <w:t xml:space="preserve">. Il s’apparente à la charpente de l’organisme puisqu’il soutient l’ensemble des muscles qui s’y insèrent et des nerfs. C’est une réserve de calcium et de phosphore. Les os participent à la production de cellules sanguines puisqu’ils contiennent en leur centre de la moelle osseuse.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squelette est constitué d’os plats, d’os longs et d’os courts.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9192" w:dyaOrig="11844">
          <v:rect xmlns:o="urn:schemas-microsoft-com:office:office" xmlns:v="urn:schemas-microsoft-com:vml" id="rectole0000000000" style="width:459.600000pt;height:592.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Next w:val="true"/>
        <w:numPr>
          <w:ilvl w:val="0"/>
          <w:numId w:val="7"/>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4.1.1.2. Le membre supérieur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membre supérieur est constitué de l’omoplate, de la clavicule, de l’humérus, du cubitus, du radius, des os du carpe, des os du métacarpe et des phalanges.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9"/>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4.1.1.2.1. La ceinture scapulaire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L’omoplate, ou scapula</w:t>
      </w:r>
      <w:r>
        <w:rPr>
          <w:rFonts w:ascii="Times New Roman" w:hAnsi="Times New Roman" w:cs="Times New Roman" w:eastAsia="Times New Roman"/>
          <w:color w:val="000000"/>
          <w:spacing w:val="0"/>
          <w:position w:val="0"/>
          <w:sz w:val="22"/>
          <w:shd w:fill="auto" w:val="clear"/>
        </w:rPr>
        <w:t xml:space="preserve">, fait partie des os plats et présente une apophyse (protubérance non pathologique d’un os), nommée </w:t>
      </w:r>
      <w:r>
        <w:rPr>
          <w:rFonts w:ascii="Times New Roman" w:hAnsi="Times New Roman" w:cs="Times New Roman" w:eastAsia="Times New Roman"/>
          <w:b/>
          <w:color w:val="000000"/>
          <w:spacing w:val="0"/>
          <w:position w:val="0"/>
          <w:sz w:val="22"/>
          <w:shd w:fill="auto" w:val="clear"/>
        </w:rPr>
        <w:t xml:space="preserve">acromion</w:t>
      </w:r>
      <w:r>
        <w:rPr>
          <w:rFonts w:ascii="Times New Roman" w:hAnsi="Times New Roman" w:cs="Times New Roman" w:eastAsia="Times New Roman"/>
          <w:color w:val="000000"/>
          <w:spacing w:val="0"/>
          <w:position w:val="0"/>
          <w:sz w:val="22"/>
          <w:shd w:fill="auto" w:val="clear"/>
        </w:rPr>
        <w:t xml:space="preserve">, qui permet son articulation avec la clavicule et la </w:t>
      </w:r>
      <w:r>
        <w:rPr>
          <w:rFonts w:ascii="Times New Roman" w:hAnsi="Times New Roman" w:cs="Times New Roman" w:eastAsia="Times New Roman"/>
          <w:b/>
          <w:color w:val="000000"/>
          <w:spacing w:val="0"/>
          <w:position w:val="0"/>
          <w:sz w:val="22"/>
          <w:shd w:fill="auto" w:val="clear"/>
        </w:rPr>
        <w:t xml:space="preserve">cavité glénoïdale</w:t>
      </w:r>
      <w:r>
        <w:rPr>
          <w:rFonts w:ascii="Times New Roman" w:hAnsi="Times New Roman" w:cs="Times New Roman" w:eastAsia="Times New Roman"/>
          <w:color w:val="000000"/>
          <w:spacing w:val="0"/>
          <w:position w:val="0"/>
          <w:sz w:val="22"/>
          <w:shd w:fill="auto" w:val="clear"/>
        </w:rPr>
        <w:t xml:space="preserve">, où vient s’articuler la tête humérale pour former l’articulation de l’épaule. La </w:t>
      </w:r>
      <w:r>
        <w:rPr>
          <w:rFonts w:ascii="Times New Roman" w:hAnsi="Times New Roman" w:cs="Times New Roman" w:eastAsia="Times New Roman"/>
          <w:b/>
          <w:color w:val="000000"/>
          <w:spacing w:val="0"/>
          <w:position w:val="0"/>
          <w:sz w:val="22"/>
          <w:shd w:fill="auto" w:val="clear"/>
        </w:rPr>
        <w:t xml:space="preserve">clavicule</w:t>
      </w:r>
      <w:r>
        <w:rPr>
          <w:rFonts w:ascii="Times New Roman" w:hAnsi="Times New Roman" w:cs="Times New Roman" w:eastAsia="Times New Roman"/>
          <w:color w:val="000000"/>
          <w:spacing w:val="0"/>
          <w:position w:val="0"/>
          <w:sz w:val="22"/>
          <w:shd w:fill="auto" w:val="clear"/>
        </w:rPr>
        <w:t xml:space="preserve"> est un os plat, fixé d’une part au sternum et d’autre part à l’omoplate. L’ensemble des 2 omoplates des 2 clavicules et de leurs articulations constitue la </w:t>
      </w:r>
      <w:r>
        <w:rPr>
          <w:rFonts w:ascii="Times New Roman" w:hAnsi="Times New Roman" w:cs="Times New Roman" w:eastAsia="Times New Roman"/>
          <w:b/>
          <w:color w:val="000000"/>
          <w:spacing w:val="0"/>
          <w:position w:val="0"/>
          <w:sz w:val="22"/>
          <w:shd w:fill="auto" w:val="clear"/>
        </w:rPr>
        <w:t xml:space="preserve">ceinture scapulaire</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1"/>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4.1.1.2.2. Le bras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bras est constitué de </w:t>
      </w:r>
      <w:r>
        <w:rPr>
          <w:rFonts w:ascii="Times New Roman" w:hAnsi="Times New Roman" w:cs="Times New Roman" w:eastAsia="Times New Roman"/>
          <w:b/>
          <w:color w:val="000000"/>
          <w:spacing w:val="0"/>
          <w:position w:val="0"/>
          <w:sz w:val="22"/>
          <w:shd w:fill="auto" w:val="clear"/>
        </w:rPr>
        <w:t xml:space="preserve">l’humérus</w:t>
      </w:r>
      <w:r>
        <w:rPr>
          <w:rFonts w:ascii="Times New Roman" w:hAnsi="Times New Roman" w:cs="Times New Roman" w:eastAsia="Times New Roman"/>
          <w:color w:val="000000"/>
          <w:spacing w:val="0"/>
          <w:position w:val="0"/>
          <w:sz w:val="22"/>
          <w:shd w:fill="auto" w:val="clear"/>
        </w:rPr>
        <w:t xml:space="preserve">, un os long qui vient s’articuler avec l’omoplate par son épiphyse (extrémité d’un os long) supérieure, pour former l’</w:t>
      </w:r>
      <w:r>
        <w:rPr>
          <w:rFonts w:ascii="Times New Roman" w:hAnsi="Times New Roman" w:cs="Times New Roman" w:eastAsia="Times New Roman"/>
          <w:b/>
          <w:color w:val="000000"/>
          <w:spacing w:val="0"/>
          <w:position w:val="0"/>
          <w:sz w:val="22"/>
          <w:shd w:fill="auto" w:val="clear"/>
        </w:rPr>
        <w:t xml:space="preserve">articulation de l’épaule</w:t>
      </w:r>
      <w:r>
        <w:rPr>
          <w:rFonts w:ascii="Times New Roman" w:hAnsi="Times New Roman" w:cs="Times New Roman" w:eastAsia="Times New Roman"/>
          <w:color w:val="000000"/>
          <w:spacing w:val="0"/>
          <w:position w:val="0"/>
          <w:sz w:val="22"/>
          <w:shd w:fill="auto" w:val="clear"/>
        </w:rPr>
        <w:t xml:space="preserve">, et avec le radius et le cubitus par son épiphyse inférieure, pour former l’articulation du coude.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3"/>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4.1.1.2.3. L’avant-bras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L’avant-bras est constitué de deux os longs: le </w:t>
      </w:r>
      <w:r>
        <w:rPr>
          <w:rFonts w:ascii="Times New Roman" w:hAnsi="Times New Roman" w:cs="Times New Roman" w:eastAsia="Times New Roman"/>
          <w:b/>
          <w:color w:val="000000"/>
          <w:spacing w:val="0"/>
          <w:position w:val="0"/>
          <w:sz w:val="22"/>
          <w:shd w:fill="auto" w:val="clear"/>
        </w:rPr>
        <w:t xml:space="preserve">radius</w:t>
      </w:r>
      <w:r>
        <w:rPr>
          <w:rFonts w:ascii="Times New Roman" w:hAnsi="Times New Roman" w:cs="Times New Roman" w:eastAsia="Times New Roman"/>
          <w:color w:val="000000"/>
          <w:spacing w:val="0"/>
          <w:position w:val="0"/>
          <w:sz w:val="22"/>
          <w:shd w:fill="auto" w:val="clear"/>
        </w:rPr>
        <w:t xml:space="preserve"> et le </w:t>
      </w:r>
      <w:r>
        <w:rPr>
          <w:rFonts w:ascii="Times New Roman" w:hAnsi="Times New Roman" w:cs="Times New Roman" w:eastAsia="Times New Roman"/>
          <w:b/>
          <w:color w:val="000000"/>
          <w:spacing w:val="0"/>
          <w:position w:val="0"/>
          <w:sz w:val="22"/>
          <w:shd w:fill="auto" w:val="clear"/>
        </w:rPr>
        <w:t xml:space="preserve">cubitus, ou ulna</w:t>
      </w:r>
      <w:r>
        <w:rPr>
          <w:rFonts w:ascii="Times New Roman" w:hAnsi="Times New Roman" w:cs="Times New Roman" w:eastAsia="Times New Roman"/>
          <w:color w:val="000000"/>
          <w:spacing w:val="0"/>
          <w:position w:val="0"/>
          <w:sz w:val="22"/>
          <w:shd w:fill="auto" w:val="clear"/>
        </w:rPr>
        <w:t xml:space="preserve">. Leurs épiphyses supérieures forment l’articulation du coude et leurs épiphyses inférieures forment l’articulation du poignet.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5"/>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4.1.1.2.4. La main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main est constituée des os du carpe</w:t>
      </w:r>
      <w:r>
        <w:rPr>
          <w:rFonts w:ascii="Times New Roman" w:hAnsi="Times New Roman" w:cs="Times New Roman" w:eastAsia="Times New Roman"/>
          <w:color w:val="000000"/>
          <w:spacing w:val="0"/>
          <w:position w:val="0"/>
          <w:sz w:val="22"/>
          <w:shd w:fill="auto" w:val="clear"/>
        </w:rPr>
        <w:t xml:space="preserve">, du métacarpe et des phalanges. Le </w:t>
      </w:r>
      <w:r>
        <w:rPr>
          <w:rFonts w:ascii="Times New Roman" w:hAnsi="Times New Roman" w:cs="Times New Roman" w:eastAsia="Times New Roman"/>
          <w:b/>
          <w:color w:val="000000"/>
          <w:spacing w:val="0"/>
          <w:position w:val="0"/>
          <w:sz w:val="22"/>
          <w:shd w:fill="auto" w:val="clear"/>
        </w:rPr>
        <w:t xml:space="preserve">carpe</w:t>
      </w:r>
      <w:r>
        <w:rPr>
          <w:rFonts w:ascii="Times New Roman" w:hAnsi="Times New Roman" w:cs="Times New Roman" w:eastAsia="Times New Roman"/>
          <w:color w:val="000000"/>
          <w:spacing w:val="0"/>
          <w:position w:val="0"/>
          <w:sz w:val="22"/>
          <w:shd w:fill="auto" w:val="clear"/>
        </w:rPr>
        <w:t xml:space="preserve"> comprend 8 os (le scaphoïde, le lunatum, le triquétrum, le pisciforme, le trapèze, le trapézoïde, le capitatum et l’hamatum) répartis sur deux rangées de 4 os chacune. Le carpe a un rôle de protection de puissants tendons, muscles et terminaisons nerveuses. Le </w:t>
      </w:r>
      <w:r>
        <w:rPr>
          <w:rFonts w:ascii="Times New Roman" w:hAnsi="Times New Roman" w:cs="Times New Roman" w:eastAsia="Times New Roman"/>
          <w:b/>
          <w:color w:val="000000"/>
          <w:spacing w:val="0"/>
          <w:position w:val="0"/>
          <w:sz w:val="22"/>
          <w:shd w:fill="auto" w:val="clear"/>
        </w:rPr>
        <w:t xml:space="preserve">métacarpe</w:t>
      </w:r>
      <w:r>
        <w:rPr>
          <w:rFonts w:ascii="Times New Roman" w:hAnsi="Times New Roman" w:cs="Times New Roman" w:eastAsia="Times New Roman"/>
          <w:color w:val="000000"/>
          <w:spacing w:val="0"/>
          <w:position w:val="0"/>
          <w:sz w:val="22"/>
          <w:shd w:fill="auto" w:val="clear"/>
        </w:rPr>
        <w:t xml:space="preserve"> correspond à la paume de la main. Il est composé de 5 os longs. Les </w:t>
      </w:r>
      <w:r>
        <w:rPr>
          <w:rFonts w:ascii="Times New Roman" w:hAnsi="Times New Roman" w:cs="Times New Roman" w:eastAsia="Times New Roman"/>
          <w:b/>
          <w:color w:val="000000"/>
          <w:spacing w:val="0"/>
          <w:position w:val="0"/>
          <w:sz w:val="22"/>
          <w:shd w:fill="auto" w:val="clear"/>
        </w:rPr>
        <w:t xml:space="preserve">phalanges</w:t>
      </w:r>
      <w:r>
        <w:rPr>
          <w:rFonts w:ascii="Times New Roman" w:hAnsi="Times New Roman" w:cs="Times New Roman" w:eastAsia="Times New Roman"/>
          <w:color w:val="000000"/>
          <w:spacing w:val="0"/>
          <w:position w:val="0"/>
          <w:sz w:val="22"/>
          <w:shd w:fill="auto" w:val="clear"/>
        </w:rPr>
        <w:t xml:space="preserve"> sont constituées de 3 os pour chaque doigt et de 2 os pour le pouce.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b/>
          <w:color w:val="auto"/>
          <w:spacing w:val="0"/>
          <w:position w:val="0"/>
          <w:sz w:val="22"/>
          <w:shd w:fill="auto" w:val="clear"/>
        </w:rPr>
      </w:pP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Schémas anatomiques</w:t>
      </w:r>
    </w:p>
    <w:p>
      <w:pPr>
        <w:spacing w:before="0" w:after="160" w:line="259"/>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3665" w:dyaOrig="5062">
          <v:rect xmlns:o="urn:schemas-microsoft-com:office:office" xmlns:v="urn:schemas-microsoft-com:vml" id="rectole0000000001" style="width:183.250000pt;height:253.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4737" w:dyaOrig="5406">
          <v:rect xmlns:o="urn:schemas-microsoft-com:office:office" xmlns:v="urn:schemas-microsoft-com:vml" id="rectole0000000002" style="width:236.850000pt;height:270.3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r>
        <w:object w:dxaOrig="3381" w:dyaOrig="4617">
          <v:rect xmlns:o="urn:schemas-microsoft-com:office:office" xmlns:v="urn:schemas-microsoft-com:vml" id="rectole0000000003" style="width:169.050000pt;height:230.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76"/>
        <w:ind w:right="0" w:left="0" w:firstLine="0"/>
        <w:jc w:val="both"/>
        <w:rPr>
          <w:rFonts w:ascii="Times New Roman" w:hAnsi="Times New Roman" w:cs="Times New Roman" w:eastAsia="Times New Roman"/>
          <w:color w:val="auto"/>
          <w:spacing w:val="0"/>
          <w:position w:val="0"/>
          <w:sz w:val="24"/>
          <w:shd w:fill="auto" w:val="clear"/>
        </w:rPr>
      </w:pPr>
    </w:p>
    <w:p>
      <w:pPr>
        <w:keepNext w:val="true"/>
        <w:numPr>
          <w:ilvl w:val="0"/>
          <w:numId w:val="1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4.1.1.3. Le membre inférieur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membre inférieur est composé de l’os iliaque, du fémur, de la rotule, du tibia, du péroné et des os du pied</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1"/>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4.1.1.3.1. L’os iliaque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L’os iliaque</w:t>
      </w:r>
      <w:r>
        <w:rPr>
          <w:rFonts w:ascii="Times New Roman" w:hAnsi="Times New Roman" w:cs="Times New Roman" w:eastAsia="Times New Roman"/>
          <w:color w:val="000000"/>
          <w:spacing w:val="0"/>
          <w:position w:val="0"/>
          <w:sz w:val="22"/>
          <w:shd w:fill="auto" w:val="clear"/>
        </w:rPr>
        <w:t xml:space="preserve"> est un os plat. Il permet la liaison entre le membre supérieur et le membre inférieur. Les 2 os iliaques sont liés à l’avant par la </w:t>
      </w:r>
      <w:r>
        <w:rPr>
          <w:rFonts w:ascii="Times New Roman" w:hAnsi="Times New Roman" w:cs="Times New Roman" w:eastAsia="Times New Roman"/>
          <w:b/>
          <w:color w:val="000000"/>
          <w:spacing w:val="0"/>
          <w:position w:val="0"/>
          <w:sz w:val="22"/>
          <w:shd w:fill="auto" w:val="clear"/>
        </w:rPr>
        <w:t xml:space="preserve">symphyse pubienne</w:t>
      </w:r>
      <w:r>
        <w:rPr>
          <w:rFonts w:ascii="Times New Roman" w:hAnsi="Times New Roman" w:cs="Times New Roman" w:eastAsia="Times New Roman"/>
          <w:color w:val="000000"/>
          <w:spacing w:val="0"/>
          <w:position w:val="0"/>
          <w:sz w:val="22"/>
          <w:shd w:fill="auto" w:val="clear"/>
        </w:rPr>
        <w:t xml:space="preserve"> et à l’arrière par le </w:t>
      </w:r>
      <w:r>
        <w:rPr>
          <w:rFonts w:ascii="Times New Roman" w:hAnsi="Times New Roman" w:cs="Times New Roman" w:eastAsia="Times New Roman"/>
          <w:b/>
          <w:color w:val="000000"/>
          <w:spacing w:val="0"/>
          <w:position w:val="0"/>
          <w:sz w:val="22"/>
          <w:shd w:fill="auto" w:val="clear"/>
        </w:rPr>
        <w:t xml:space="preserve">sacrum</w:t>
      </w:r>
      <w:r>
        <w:rPr>
          <w:rFonts w:ascii="Times New Roman" w:hAnsi="Times New Roman" w:cs="Times New Roman" w:eastAsia="Times New Roman"/>
          <w:color w:val="000000"/>
          <w:spacing w:val="0"/>
          <w:position w:val="0"/>
          <w:sz w:val="22"/>
          <w:shd w:fill="auto" w:val="clear"/>
        </w:rPr>
        <w:t xml:space="preserve">. Cet ensemble constitue le squelette du bassin.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3"/>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4.1.1.3.2. Le fémur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fémur est un os long qui constitue le squelette de la cuisse</w:t>
      </w:r>
      <w:r>
        <w:rPr>
          <w:rFonts w:ascii="Times New Roman" w:hAnsi="Times New Roman" w:cs="Times New Roman" w:eastAsia="Times New Roman"/>
          <w:color w:val="000000"/>
          <w:spacing w:val="0"/>
          <w:position w:val="0"/>
          <w:sz w:val="22"/>
          <w:shd w:fill="auto" w:val="clear"/>
        </w:rPr>
        <w:t xml:space="preserve">. La tête fémorale vient s’insérer dans l’os iliaque pour former l’articulation de la hanche, ou coxo-fémorale. Juste au-dessous de la tête fémorale, on retrouve le col du fémur, auquel fait suite la diaphyse (partie médiane d’un os long), et l’épiphyse inférieure constituée de deux condyles fémoraux faisant partie de l’</w:t>
      </w:r>
      <w:r>
        <w:rPr>
          <w:rFonts w:ascii="Times New Roman" w:hAnsi="Times New Roman" w:cs="Times New Roman" w:eastAsia="Times New Roman"/>
          <w:b/>
          <w:color w:val="000000"/>
          <w:spacing w:val="0"/>
          <w:position w:val="0"/>
          <w:sz w:val="22"/>
          <w:shd w:fill="auto" w:val="clear"/>
        </w:rPr>
        <w:t xml:space="preserve">articulation du genou</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5"/>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4.1.1.3.3. Le tibia et le péroné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w:t>
      </w:r>
      <w:r>
        <w:rPr>
          <w:rFonts w:ascii="Times New Roman" w:hAnsi="Times New Roman" w:cs="Times New Roman" w:eastAsia="Times New Roman"/>
          <w:b/>
          <w:color w:val="000000"/>
          <w:spacing w:val="0"/>
          <w:position w:val="0"/>
          <w:sz w:val="22"/>
          <w:shd w:fill="auto" w:val="clear"/>
        </w:rPr>
        <w:t xml:space="preserve">tibia</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shd w:fill="auto" w:val="clear"/>
        </w:rPr>
        <w:t xml:space="preserve">est un os long de la jambe</w:t>
      </w:r>
      <w:r>
        <w:rPr>
          <w:rFonts w:ascii="Times New Roman" w:hAnsi="Times New Roman" w:cs="Times New Roman" w:eastAsia="Times New Roman"/>
          <w:color w:val="000000"/>
          <w:spacing w:val="0"/>
          <w:position w:val="0"/>
          <w:sz w:val="22"/>
          <w:shd w:fill="auto" w:val="clear"/>
        </w:rPr>
        <w:t xml:space="preserve">. Il est en contact avec la partie inférieure du fémur pour articuler le genou. Sa partie inférieure constitue la malléole interne, qui fait partie de l’articulation de la cheville. Le </w:t>
      </w:r>
      <w:r>
        <w:rPr>
          <w:rFonts w:ascii="Times New Roman" w:hAnsi="Times New Roman" w:cs="Times New Roman" w:eastAsia="Times New Roman"/>
          <w:b/>
          <w:color w:val="000000"/>
          <w:spacing w:val="0"/>
          <w:position w:val="0"/>
          <w:sz w:val="22"/>
          <w:shd w:fill="auto" w:val="clear"/>
        </w:rPr>
        <w:t xml:space="preserve">péroné, ou fibula</w:t>
      </w:r>
      <w:r>
        <w:rPr>
          <w:rFonts w:ascii="Times New Roman" w:hAnsi="Times New Roman" w:cs="Times New Roman" w:eastAsia="Times New Roman"/>
          <w:color w:val="000000"/>
          <w:spacing w:val="0"/>
          <w:position w:val="0"/>
          <w:sz w:val="22"/>
          <w:shd w:fill="auto" w:val="clear"/>
        </w:rPr>
        <w:t xml:space="preserve">, est un os long très fin de la jambe. Sa tête vient s’insérer au niveau du tibia et sa partie inférieure constitue la malléole externe palpable au niveau de la cheville et participe à son articulation.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7"/>
        </w:numPr>
        <w:spacing w:before="120" w:after="60" w:line="240"/>
        <w:ind w:right="0" w:left="3005"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4.1.1.3.4. Le pied</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os du pied sont constitués du tarse, du métatarse et des phalanges</w:t>
      </w:r>
      <w:r>
        <w:rPr>
          <w:rFonts w:ascii="Times New Roman" w:hAnsi="Times New Roman" w:cs="Times New Roman" w:eastAsia="Times New Roman"/>
          <w:color w:val="000000"/>
          <w:spacing w:val="0"/>
          <w:position w:val="0"/>
          <w:sz w:val="22"/>
          <w:shd w:fill="auto" w:val="clear"/>
        </w:rPr>
        <w:t xml:space="preserve">. Le tarse est formé de 7 os (le </w:t>
      </w:r>
      <w:r>
        <w:rPr>
          <w:rFonts w:ascii="Times New Roman" w:hAnsi="Times New Roman" w:cs="Times New Roman" w:eastAsia="Times New Roman"/>
          <w:b/>
          <w:color w:val="000000"/>
          <w:spacing w:val="0"/>
          <w:position w:val="0"/>
          <w:sz w:val="22"/>
          <w:shd w:fill="auto" w:val="clear"/>
        </w:rPr>
        <w:t xml:space="preserve">cuboïde</w:t>
      </w:r>
      <w:r>
        <w:rPr>
          <w:rFonts w:ascii="Times New Roman" w:hAnsi="Times New Roman" w:cs="Times New Roman" w:eastAsia="Times New Roman"/>
          <w:color w:val="000000"/>
          <w:spacing w:val="0"/>
          <w:position w:val="0"/>
          <w:sz w:val="22"/>
          <w:shd w:fill="auto" w:val="clear"/>
        </w:rPr>
        <w:t xml:space="preserve">, le </w:t>
      </w:r>
      <w:r>
        <w:rPr>
          <w:rFonts w:ascii="Times New Roman" w:hAnsi="Times New Roman" w:cs="Times New Roman" w:eastAsia="Times New Roman"/>
          <w:b/>
          <w:color w:val="000000"/>
          <w:spacing w:val="0"/>
          <w:position w:val="0"/>
          <w:sz w:val="22"/>
          <w:shd w:fill="auto" w:val="clear"/>
        </w:rPr>
        <w:t xml:space="preserve">scaphoïde</w:t>
      </w:r>
      <w:r>
        <w:rPr>
          <w:rFonts w:ascii="Times New Roman" w:hAnsi="Times New Roman" w:cs="Times New Roman" w:eastAsia="Times New Roman"/>
          <w:color w:val="000000"/>
          <w:spacing w:val="0"/>
          <w:position w:val="0"/>
          <w:sz w:val="22"/>
          <w:shd w:fill="auto" w:val="clear"/>
        </w:rPr>
        <w:t xml:space="preserve">, les trois os </w:t>
      </w:r>
      <w:r>
        <w:rPr>
          <w:rFonts w:ascii="Times New Roman" w:hAnsi="Times New Roman" w:cs="Times New Roman" w:eastAsia="Times New Roman"/>
          <w:b/>
          <w:color w:val="000000"/>
          <w:spacing w:val="0"/>
          <w:position w:val="0"/>
          <w:sz w:val="22"/>
          <w:shd w:fill="auto" w:val="clear"/>
        </w:rPr>
        <w:t xml:space="preserve">cunéiformes</w:t>
      </w:r>
      <w:r>
        <w:rPr>
          <w:rFonts w:ascii="Times New Roman" w:hAnsi="Times New Roman" w:cs="Times New Roman" w:eastAsia="Times New Roman"/>
          <w:color w:val="000000"/>
          <w:spacing w:val="0"/>
          <w:position w:val="0"/>
          <w:sz w:val="22"/>
          <w:shd w:fill="auto" w:val="clear"/>
        </w:rPr>
        <w:t xml:space="preserve">, le </w:t>
      </w:r>
      <w:r>
        <w:rPr>
          <w:rFonts w:ascii="Times New Roman" w:hAnsi="Times New Roman" w:cs="Times New Roman" w:eastAsia="Times New Roman"/>
          <w:b/>
          <w:color w:val="000000"/>
          <w:spacing w:val="0"/>
          <w:position w:val="0"/>
          <w:sz w:val="22"/>
          <w:shd w:fill="auto" w:val="clear"/>
        </w:rPr>
        <w:t xml:space="preserve">calcanéum</w:t>
      </w:r>
      <w:r>
        <w:rPr>
          <w:rFonts w:ascii="Times New Roman" w:hAnsi="Times New Roman" w:cs="Times New Roman" w:eastAsia="Times New Roman"/>
          <w:color w:val="000000"/>
          <w:spacing w:val="0"/>
          <w:position w:val="0"/>
          <w:sz w:val="22"/>
          <w:shd w:fill="auto" w:val="clear"/>
        </w:rPr>
        <w:t xml:space="preserve"> et le </w:t>
      </w:r>
      <w:r>
        <w:rPr>
          <w:rFonts w:ascii="Times New Roman" w:hAnsi="Times New Roman" w:cs="Times New Roman" w:eastAsia="Times New Roman"/>
          <w:b/>
          <w:color w:val="000000"/>
          <w:spacing w:val="0"/>
          <w:position w:val="0"/>
          <w:sz w:val="22"/>
          <w:shd w:fill="auto" w:val="clear"/>
        </w:rPr>
        <w:t xml:space="preserve">talus</w:t>
      </w:r>
      <w:r>
        <w:rPr>
          <w:rFonts w:ascii="Times New Roman" w:hAnsi="Times New Roman" w:cs="Times New Roman" w:eastAsia="Times New Roman"/>
          <w:color w:val="000000"/>
          <w:spacing w:val="0"/>
          <w:position w:val="0"/>
          <w:sz w:val="22"/>
          <w:shd w:fill="auto" w:val="clear"/>
        </w:rPr>
        <w:t xml:space="preserve"> ou astragale) qui forment une voûte qui soutient l’ensemble du poids du corps. Le métatarse est constitué d’os longs, on en dénombre 5.</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phalanges (phalangines, phalangettes) des orteils sont semblables à celles de la main, on en dénombre trois par orteil et seulement deux pour le gros orteil.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4.1.1.4. Les mouvements articulaires</w:t>
      </w:r>
    </w:p>
    <w:p>
      <w:pPr>
        <w:numPr>
          <w:ilvl w:val="0"/>
          <w:numId w:val="29"/>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L’adduction : mouvement rapprochant le membre vers l’axe du corps.</w:t>
      </w:r>
    </w:p>
    <w:p>
      <w:pPr>
        <w:numPr>
          <w:ilvl w:val="0"/>
          <w:numId w:val="2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L’abduction : mouvement éloignant le membre de l’axe du corps.</w:t>
      </w:r>
    </w:p>
    <w:p>
      <w:pPr>
        <w:numPr>
          <w:ilvl w:val="0"/>
          <w:numId w:val="2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pronation : mouvement rotatoire de l’avant-bras pour que la paume de la main soit vers le sol (prendre).</w:t>
      </w:r>
    </w:p>
    <w:p>
      <w:pPr>
        <w:numPr>
          <w:ilvl w:val="0"/>
          <w:numId w:val="2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supination : mouvement rotatoire de l’avant-bras pour que la paume de la main soit vers le ciel (supplier).</w:t>
      </w:r>
    </w:p>
    <w:p>
      <w:pPr>
        <w:numPr>
          <w:ilvl w:val="0"/>
          <w:numId w:val="2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L’inversion : mouvement articulaire propre au pied dont la pointe est dirigée vers le bas, en dedans.</w:t>
      </w:r>
    </w:p>
    <w:p>
      <w:pPr>
        <w:numPr>
          <w:ilvl w:val="0"/>
          <w:numId w:val="29"/>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L’éversion : mouvement articulaire propre au pied dont la pointe est dirigée vers le haut, en dehors.</w:t>
      </w:r>
    </w:p>
    <w:p>
      <w:pPr>
        <w:numPr>
          <w:ilvl w:val="0"/>
          <w:numId w:val="2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rotation (interne ou externe) : mouvement de l’os autour de son axe.</w:t>
      </w:r>
    </w:p>
    <w:p>
      <w:pPr>
        <w:numPr>
          <w:ilvl w:val="0"/>
          <w:numId w:val="29"/>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circumduction : mouvement articulaire au niveau de la hanche ou de l’épaule permettant au pied ou à la main de décrire un cercle.</w:t>
      </w: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both"/>
        <w:rPr>
          <w:rFonts w:ascii="Times New Roman" w:hAnsi="Times New Roman" w:cs="Times New Roman" w:eastAsia="Times New Roman"/>
          <w:b/>
          <w:color w:val="auto"/>
          <w:spacing w:val="0"/>
          <w:position w:val="0"/>
          <w:sz w:val="22"/>
          <w:shd w:fill="auto" w:val="clear"/>
        </w:rPr>
      </w:pPr>
    </w:p>
    <w:p>
      <w:pPr>
        <w:spacing w:before="0" w:after="0" w:line="276"/>
        <w:ind w:right="0" w:left="0" w:firstLine="0"/>
        <w:jc w:val="both"/>
        <w:rPr>
          <w:rFonts w:ascii="Times New Roman" w:hAnsi="Times New Roman" w:cs="Times New Roman" w:eastAsia="Times New Roman"/>
          <w:b/>
          <w:color w:val="auto"/>
          <w:spacing w:val="0"/>
          <w:position w:val="0"/>
          <w:sz w:val="22"/>
          <w:shd w:fill="auto" w:val="clear"/>
        </w:rPr>
      </w:pP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Schémas anatomiques</w:t>
      </w: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object w:dxaOrig="4433" w:dyaOrig="4433">
          <v:rect xmlns:o="urn:schemas-microsoft-com:office:office" xmlns:v="urn:schemas-microsoft-com:vml" id="rectole0000000004" style="width:221.650000pt;height:221.6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object w:dxaOrig="3280" w:dyaOrig="4433">
          <v:rect xmlns:o="urn:schemas-microsoft-com:office:office" xmlns:v="urn:schemas-microsoft-com:vml" id="rectole0000000005" style="width:164.000000pt;height:221.6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object w:dxaOrig="3665" w:dyaOrig="4515">
          <v:rect xmlns:o="urn:schemas-microsoft-com:office:office" xmlns:v="urn:schemas-microsoft-com:vml" id="rectole0000000006" style="width:183.250000pt;height:225.7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Next w:val="true"/>
        <w:numPr>
          <w:ilvl w:val="0"/>
          <w:numId w:val="32"/>
        </w:numPr>
        <w:spacing w:before="140" w:after="120" w:line="240"/>
        <w:ind w:right="0" w:left="2268" w:firstLine="0"/>
        <w:jc w:val="left"/>
        <w:rPr>
          <w:rFonts w:ascii="Times New Roman" w:hAnsi="Times New Roman" w:cs="Times New Roman" w:eastAsia="Times New Roman"/>
          <w:b/>
          <w:color w:val="A84A9D"/>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4.1.2. Principales pathologies</w:t>
      </w:r>
    </w:p>
    <w:p>
      <w:pPr>
        <w:keepNext w:val="true"/>
        <w:numPr>
          <w:ilvl w:val="0"/>
          <w:numId w:val="32"/>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4.1.2.1. Généralités sur les fractures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fracture</w:t>
      </w:r>
      <w:r>
        <w:rPr>
          <w:rFonts w:ascii="Times New Roman" w:hAnsi="Times New Roman" w:cs="Times New Roman" w:eastAsia="Times New Roman"/>
          <w:color w:val="000000"/>
          <w:spacing w:val="0"/>
          <w:position w:val="0"/>
          <w:sz w:val="22"/>
          <w:shd w:fill="auto" w:val="clear"/>
        </w:rPr>
        <w:t xml:space="preserve"> est la rupture de continuité d’un os après un traumatisme (torsion, flexion, enfoncement ou arrachement).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distingue plusieurs types de fractures :</w:t>
      </w:r>
    </w:p>
    <w:p>
      <w:pPr>
        <w:numPr>
          <w:ilvl w:val="0"/>
          <w:numId w:val="3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fracture pathologique : spontanée, due à une fragilité préalable de l’os (ostéoporose, métastase…) ;</w:t>
      </w:r>
    </w:p>
    <w:p>
      <w:pPr>
        <w:numPr>
          <w:ilvl w:val="0"/>
          <w:numId w:val="3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fracture spiroïde : le membre a effectué une torsion qui a causé la fracture de l’os ;</w:t>
      </w:r>
    </w:p>
    <w:p>
      <w:pPr>
        <w:numPr>
          <w:ilvl w:val="0"/>
          <w:numId w:val="3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fracture en « bois vert » : l’os n’est pas totalement fracturé, typique chez les enfants ;</w:t>
      </w:r>
    </w:p>
    <w:p>
      <w:pPr>
        <w:numPr>
          <w:ilvl w:val="0"/>
          <w:numId w:val="3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fracture comminutive : des débris osseux sont présents autour de la rupture de continuité ;</w:t>
      </w:r>
    </w:p>
    <w:p>
      <w:pPr>
        <w:numPr>
          <w:ilvl w:val="0"/>
          <w:numId w:val="3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fracture en « aile de papillon » : la rupture de l’os met en évidence deux fragments osseux qui en délimitent eux-mêmes un troisième ;</w:t>
      </w:r>
    </w:p>
    <w:p>
      <w:pPr>
        <w:numPr>
          <w:ilvl w:val="0"/>
          <w:numId w:val="3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fracture déplacée : l’os n’est plus dans sa loge anatomique ;</w:t>
      </w:r>
    </w:p>
    <w:p>
      <w:pPr>
        <w:numPr>
          <w:ilvl w:val="0"/>
          <w:numId w:val="35"/>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fracture ouverte : le fragment osseux a déchiré la peau et est apparent ou un objet extérieur a lésé la peau et est entré dans les chairs en fracturant les os. C’est une urgence médicochirurgicale du fait du haut risque infectieux.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37"/>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4.1.2.1.1. La fracture du col du fémur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fracture du col du fémur </w:t>
      </w:r>
      <w:r>
        <w:rPr>
          <w:rFonts w:ascii="Times New Roman" w:hAnsi="Times New Roman" w:cs="Times New Roman" w:eastAsia="Times New Roman"/>
          <w:color w:val="000000"/>
          <w:spacing w:val="0"/>
          <w:position w:val="0"/>
          <w:sz w:val="22"/>
          <w:shd w:fill="auto" w:val="clear"/>
        </w:rPr>
        <w:t xml:space="preserve">est très souvent rencontrée chez les personnes âgées.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Elle a pour origine une simple chute, la rupture en raison d’une fragilité osseuse (ostéoporose) ou les accidents de la voie publique.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Cette affection est facilement repérable, on retrouve un </w:t>
      </w:r>
      <w:r>
        <w:rPr>
          <w:rFonts w:ascii="Times New Roman" w:hAnsi="Times New Roman" w:cs="Times New Roman" w:eastAsia="Times New Roman"/>
          <w:b/>
          <w:color w:val="000000"/>
          <w:spacing w:val="0"/>
          <w:position w:val="0"/>
          <w:sz w:val="22"/>
          <w:shd w:fill="auto" w:val="clear"/>
        </w:rPr>
        <w:t xml:space="preserve">raccourcissement</w:t>
      </w:r>
      <w:r>
        <w:rPr>
          <w:rFonts w:ascii="Times New Roman" w:hAnsi="Times New Roman" w:cs="Times New Roman" w:eastAsia="Times New Roman"/>
          <w:color w:val="000000"/>
          <w:spacing w:val="0"/>
          <w:position w:val="0"/>
          <w:sz w:val="22"/>
          <w:shd w:fill="auto" w:val="clear"/>
        </w:rPr>
        <w:t xml:space="preserve"> de la jambe et une </w:t>
      </w:r>
      <w:r>
        <w:rPr>
          <w:rFonts w:ascii="Times New Roman" w:hAnsi="Times New Roman" w:cs="Times New Roman" w:eastAsia="Times New Roman"/>
          <w:b/>
          <w:color w:val="000000"/>
          <w:spacing w:val="0"/>
          <w:position w:val="0"/>
          <w:sz w:val="22"/>
          <w:shd w:fill="auto" w:val="clear"/>
        </w:rPr>
        <w:t xml:space="preserve">rotation externe du pied</w:t>
      </w:r>
      <w:r>
        <w:rPr>
          <w:rFonts w:ascii="Times New Roman" w:hAnsi="Times New Roman" w:cs="Times New Roman" w:eastAsia="Times New Roman"/>
          <w:color w:val="000000"/>
          <w:spacing w:val="0"/>
          <w:position w:val="0"/>
          <w:sz w:val="22"/>
          <w:shd w:fill="auto" w:val="clear"/>
        </w:rPr>
        <w:t xml:space="preserve"> (il est tourné vers l’extérieur). Le patient ne peut pas décoller le talon de son lit.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Face à ce tableau clinique, le médecin prescrit une radiographie de face et de profil de la hanche. Cet examen détermine la gravité de la fracture.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des cas très limités, un traitement médical peut être tenté. La jambe est alors mise en </w:t>
      </w:r>
      <w:r>
        <w:rPr>
          <w:rFonts w:ascii="Times New Roman" w:hAnsi="Times New Roman" w:cs="Times New Roman" w:eastAsia="Times New Roman"/>
          <w:b/>
          <w:color w:val="000000"/>
          <w:spacing w:val="0"/>
          <w:position w:val="0"/>
          <w:sz w:val="22"/>
          <w:shd w:fill="auto" w:val="clear"/>
        </w:rPr>
        <w:t xml:space="preserve">traction-suspension</w:t>
      </w:r>
      <w:r>
        <w:rPr>
          <w:rFonts w:ascii="Times New Roman" w:hAnsi="Times New Roman" w:cs="Times New Roman" w:eastAsia="Times New Roman"/>
          <w:color w:val="000000"/>
          <w:spacing w:val="0"/>
          <w:position w:val="0"/>
          <w:sz w:val="22"/>
          <w:shd w:fill="auto" w:val="clear"/>
        </w:rPr>
        <w:t xml:space="preserve">, ce qui permet d’éviter le déplacement de la fracture.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Mais le traitement chirurgical est, en général, de règle, il permet la consolidation de la fracture par la mise en place de vis et de plaques, ou de clous centro-médullaires, ou par la </w:t>
      </w:r>
      <w:r>
        <w:rPr>
          <w:rFonts w:ascii="Times New Roman" w:hAnsi="Times New Roman" w:cs="Times New Roman" w:eastAsia="Times New Roman"/>
          <w:b/>
          <w:color w:val="000000"/>
          <w:spacing w:val="0"/>
          <w:position w:val="0"/>
          <w:sz w:val="22"/>
          <w:shd w:fill="auto" w:val="clear"/>
        </w:rPr>
        <w:t xml:space="preserve">pose d’une prothèse totale de hanche (PTH)</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Après l’acte chirurgical, le patient peut retrouver l’appui sur sa jambe dans les jours suivant l’intervention.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39"/>
        </w:numPr>
        <w:spacing w:before="120" w:after="120" w:line="240"/>
        <w:ind w:right="0" w:left="300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4.1.2.2. Généralités sur les entorses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L’entorse </w:t>
      </w:r>
      <w:r>
        <w:rPr>
          <w:rFonts w:ascii="Times New Roman" w:hAnsi="Times New Roman" w:cs="Times New Roman" w:eastAsia="Times New Roman"/>
          <w:color w:val="000000"/>
          <w:spacing w:val="0"/>
          <w:position w:val="0"/>
          <w:sz w:val="22"/>
          <w:shd w:fill="auto" w:val="clear"/>
        </w:rPr>
        <w:t xml:space="preserve">survient lors d’un traumatisme d’une articulation. On distingue l’entorse bénigne, où les ligaments sont distendus, et l’entorse grave, où les ligaments sont rompus avec ou non un arrachement de leur insertion osseuse.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b/>
          <w:color w:val="2F5496"/>
          <w:spacing w:val="0"/>
          <w:position w:val="0"/>
          <w:sz w:val="24"/>
          <w:shd w:fill="auto" w:val="clear"/>
        </w:rPr>
      </w:pPr>
      <w:r>
        <w:rPr>
          <w:rFonts w:ascii="Times New Roman" w:hAnsi="Times New Roman" w:cs="Times New Roman" w:eastAsia="Times New Roman"/>
          <w:b/>
          <w:color w:val="2F5496"/>
          <w:spacing w:val="0"/>
          <w:position w:val="0"/>
          <w:sz w:val="24"/>
          <w:shd w:fill="auto" w:val="clear"/>
        </w:rPr>
        <w:t xml:space="preserve">Exemple : l’entorse du genou</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L’entorse du genou est une affection courante en traumatologie sportive (rugby, football, ski…). Elle survient généralement lors d’un mouvement de torsion de l’articulation. Le patient peut entendre une sorte de craquement lors du traumatisme, ressentir une instabilité de l’articulation ou une forte douleur et le genou sera </w:t>
      </w:r>
      <w:r>
        <w:rPr>
          <w:rFonts w:ascii="Times New Roman" w:hAnsi="Times New Roman" w:cs="Times New Roman" w:eastAsia="Times New Roman"/>
          <w:color w:val="000000"/>
          <w:spacing w:val="0"/>
          <w:position w:val="0"/>
          <w:sz w:val="22"/>
          <w:shd w:fill="auto" w:val="clear"/>
        </w:rPr>
        <w:t xml:space="preserve">œd</w:t>
      </w:r>
      <w:r>
        <w:rPr>
          <w:rFonts w:ascii="Times New Roman" w:hAnsi="Times New Roman" w:cs="Times New Roman" w:eastAsia="Times New Roman"/>
          <w:color w:val="000000"/>
          <w:spacing w:val="0"/>
          <w:position w:val="0"/>
          <w:sz w:val="22"/>
          <w:shd w:fill="auto" w:val="clear"/>
        </w:rPr>
        <w:t xml:space="preserve">ématié.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médecin examine le genou et prescrit une radiographie pour écarter la présence d’une fracture ou entrevoir la nécessité d’une intervention chirurgicale.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peut être médical (orthopédique), avec une immobilisation partielle du genou grâce à une attelle suivie de séances de rééducation, ou chirurgical dans le cas d’une entorse grave. Le chirurgien procède à une ligamentoplastie, c’est-à-dire la reconstruction des ligaments.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41"/>
        </w:numPr>
        <w:spacing w:before="120" w:after="120" w:line="240"/>
        <w:ind w:right="0" w:left="2948"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4.1.2.3. Généralités sur les luxations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luxation </w:t>
      </w:r>
      <w:r>
        <w:rPr>
          <w:rFonts w:ascii="Times New Roman" w:hAnsi="Times New Roman" w:cs="Times New Roman" w:eastAsia="Times New Roman"/>
          <w:color w:val="000000"/>
          <w:spacing w:val="0"/>
          <w:position w:val="0"/>
          <w:sz w:val="22"/>
          <w:shd w:fill="auto" w:val="clear"/>
        </w:rPr>
        <w:t xml:space="preserve">correspond au déplacement complet des deux surfaces osseuses normalement dans le même axe d’une articulation. Cette atteinte a le plus souvent pour cause un choc violent, un mouvement forcé et, dans des cas plus rares, il s’agit d’une malformation congénitale.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distingue la luxation partielle (subluxation), où il reste un mince contact entre les deux surfaces articulaires, et la luxation totale, où la rupture de continuité est complète et où il n’y a plus de contact entre les deux surfaces. La prise en charge de ce traumatisme doit être rapide car des vaisseaux ou des nerfs proches de l’articulation peuvent être lésés.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b/>
          <w:color w:val="2F5496"/>
          <w:spacing w:val="0"/>
          <w:position w:val="0"/>
          <w:sz w:val="24"/>
          <w:shd w:fill="auto" w:val="clear"/>
        </w:rPr>
      </w:pPr>
      <w:r>
        <w:rPr>
          <w:rFonts w:ascii="Times New Roman" w:hAnsi="Times New Roman" w:cs="Times New Roman" w:eastAsia="Times New Roman"/>
          <w:b/>
          <w:color w:val="2F5496"/>
          <w:spacing w:val="0"/>
          <w:position w:val="0"/>
          <w:sz w:val="24"/>
          <w:shd w:fill="auto" w:val="clear"/>
        </w:rPr>
        <w:t xml:space="preserve">Exemple : la luxation de l’épaule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luxation de l’épaule est une pathologie courante en traumatologie. La tête humérale sort de la cavité glénoïdale située au niveau de l’angle externe de l’omoplate.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ressent une sensation de déboîtement de l’articulation et une vive douleur. Il adopte une posture de protection, le bras replié contre le thorax soutenu par l’autre bras avec l’impossibilité de déplier son avant-bras. On peut aussi observer une modification de la forme de l’épaule et, à la palpation, on perçoit la tête humérale au niveau de l’aisselle.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médecin observe ces signes cliniques et prescrit la réalisation d’une radiographie pour visualiser la présence éventuelle d’une fracture associée.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repose sur des man</w:t>
      </w:r>
      <w:r>
        <w:rPr>
          <w:rFonts w:ascii="Times New Roman" w:hAnsi="Times New Roman" w:cs="Times New Roman" w:eastAsia="Times New Roman"/>
          <w:color w:val="000000"/>
          <w:spacing w:val="0"/>
          <w:position w:val="0"/>
          <w:sz w:val="22"/>
          <w:shd w:fill="auto" w:val="clear"/>
        </w:rPr>
        <w:t xml:space="preserve">œuvres manuelles ou chirurgicales appel</w:t>
      </w:r>
      <w:r>
        <w:rPr>
          <w:rFonts w:ascii="Times New Roman" w:hAnsi="Times New Roman" w:cs="Times New Roman" w:eastAsia="Times New Roman"/>
          <w:color w:val="000000"/>
          <w:spacing w:val="0"/>
          <w:position w:val="0"/>
          <w:sz w:val="22"/>
          <w:shd w:fill="auto" w:val="clear"/>
        </w:rPr>
        <w:t xml:space="preserve">ées « réduction » pour ramener la tête humérale dans la cavité glénoïdale. Une contention de l’articulation avec des séances de rééducation est nécessaire pendant environ 3 semaines pour permettre une cicatrisation des ligaments de la capsule.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cas de luxations récidivantes, un traitement chirurgical est proposé au patient : la mise en place d’une butée articulaire.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43"/>
        </w:numPr>
        <w:spacing w:before="120" w:after="120" w:line="240"/>
        <w:ind w:right="0" w:left="2948"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4.1.2.4. La tendinite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tendinite </w:t>
      </w:r>
      <w:r>
        <w:rPr>
          <w:rFonts w:ascii="Times New Roman" w:hAnsi="Times New Roman" w:cs="Times New Roman" w:eastAsia="Times New Roman"/>
          <w:color w:val="000000"/>
          <w:spacing w:val="0"/>
          <w:position w:val="0"/>
          <w:sz w:val="22"/>
          <w:shd w:fill="auto" w:val="clear"/>
        </w:rPr>
        <w:t xml:space="preserve">est une inflammation douloureuse des tendons ayant pour causes des mouvements répétitifs et prolongés, certains médicaments ou des infections.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présente une douleur lors du mouvement sollicitant le tendon enflammé et le muscle est douloureux.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repose sur le repos, une antalgie, des anti-inflammatoires, des infiltrations mais aussi des séances de rééducation progressive.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45"/>
        </w:numPr>
        <w:spacing w:before="120" w:after="120" w:line="240"/>
        <w:ind w:right="0" w:left="300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4.1.2.5. L’ostéoporose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L’ostéoporose</w:t>
      </w:r>
      <w:r>
        <w:rPr>
          <w:rFonts w:ascii="Times New Roman" w:hAnsi="Times New Roman" w:cs="Times New Roman" w:eastAsia="Times New Roman"/>
          <w:color w:val="000000"/>
          <w:spacing w:val="0"/>
          <w:position w:val="0"/>
          <w:sz w:val="22"/>
          <w:shd w:fill="auto" w:val="clear"/>
        </w:rPr>
        <w:t xml:space="preserve"> est une pathologie osseuse qui entraîne une grande fragilité du squelette. En effet, le tissu osseux est sans cesse renouvelé. La vitamine D et les hormones sexuelles participent à la régulation de ce renouvellement (ostéogénie). Des déséquilibres de ces facteurs perturbent ce système et on assiste à plus de destruction (ostéoclasie) de cellules osseuses que de renouvellement.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os du patient sont fragilisés et le risque de fracture majoré.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Cette pathologie se rencontre surtout chez les femmes ménopausée, du fait de la baisse de sécrétion d’</w:t>
      </w:r>
      <w:r>
        <w:rPr>
          <w:rFonts w:ascii="Times New Roman" w:hAnsi="Times New Roman" w:cs="Times New Roman" w:eastAsia="Times New Roman"/>
          <w:color w:val="000000"/>
          <w:spacing w:val="0"/>
          <w:position w:val="0"/>
          <w:sz w:val="22"/>
          <w:shd w:fill="auto" w:val="clear"/>
        </w:rPr>
        <w:t xml:space="preserve">œstrog</w:t>
      </w:r>
      <w:r>
        <w:rPr>
          <w:rFonts w:ascii="Times New Roman" w:hAnsi="Times New Roman" w:cs="Times New Roman" w:eastAsia="Times New Roman"/>
          <w:color w:val="000000"/>
          <w:spacing w:val="0"/>
          <w:position w:val="0"/>
          <w:sz w:val="22"/>
          <w:shd w:fill="auto" w:val="clear"/>
        </w:rPr>
        <w:t xml:space="preserve">ènes, hormones sexuelles. Dans les causes favorisantes, on retrouve aussi des carences en vitamine D et en calcium, l’alcoolisme et le tabagisme.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médecin prescrit au patient la réalisation d’une ostéodensitométrie. Ensuite, le patient est supplémenté en vitamine D ou en calcium s’il est carencé.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l’absence d’antécédents de fractures et à un stade peu avancé de la maladie, le médecin propose de varier l’alimentation et de pratiquer de l’exercice physique, le tout accompagné d’une supplémentation préventive en calcium et vitamine D.</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Par la suite, en fonction de l’âge, des éventuels antécédents de fractures et de la présence de facteurs de risque, des thérapeutiques médicamenteuses plus ciblées peuvent être proposées au patient. Elles agissent sur les mécanismes de renouvellement osseux.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47"/>
        </w:numPr>
        <w:spacing w:before="120" w:after="120" w:line="240"/>
        <w:ind w:right="0" w:left="300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4.1.2.6. L’ostéomyélite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L’ostéomyélite</w:t>
      </w:r>
      <w:r>
        <w:rPr>
          <w:rFonts w:ascii="Times New Roman" w:hAnsi="Times New Roman" w:cs="Times New Roman" w:eastAsia="Times New Roman"/>
          <w:color w:val="000000"/>
          <w:spacing w:val="0"/>
          <w:position w:val="0"/>
          <w:sz w:val="22"/>
          <w:shd w:fill="auto" w:val="clear"/>
        </w:rPr>
        <w:t xml:space="preserve">, affection fréquente surtout chez l’enfant, correspond à une infection du tissu osseux par un germe, qui est le plus souvent un </w:t>
      </w:r>
      <w:r>
        <w:rPr>
          <w:rFonts w:ascii="Times New Roman" w:hAnsi="Times New Roman" w:cs="Times New Roman" w:eastAsia="Times New Roman"/>
          <w:b/>
          <w:color w:val="000000"/>
          <w:spacing w:val="0"/>
          <w:position w:val="0"/>
          <w:sz w:val="22"/>
          <w:shd w:fill="auto" w:val="clear"/>
        </w:rPr>
        <w:t xml:space="preserve">staphylocoque doré</w:t>
      </w:r>
      <w:r>
        <w:rPr>
          <w:rFonts w:ascii="Times New Roman" w:hAnsi="Times New Roman" w:cs="Times New Roman" w:eastAsia="Times New Roman"/>
          <w:color w:val="000000"/>
          <w:spacing w:val="0"/>
          <w:position w:val="0"/>
          <w:sz w:val="22"/>
          <w:shd w:fill="auto" w:val="clear"/>
        </w:rPr>
        <w:t xml:space="preserve"> qui passe dans la voie sanguine et infecte le tissu osseux.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ressent d’intenses douleurs osseuses et présente une forte fièvre. Le diagnostic repose sur la présence du germe dans le sang (authentifié par une prise de sang spécifique : une hémoculture) mais aussi sur des marqueurs sanguins qui montrent l’infection (augmentation massive des globules blancs, qui traduit une forte mobilisation du système immunitaire pour combattre le germe). La radiographie est, pour cette affection, un examen peu probant, dans la plupart des cas. Une scintigraphie osseuse lui est préférée.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repose sur une antibiothérapie intraveineuse puis orale pendant plusieurs mois et sur l’immobilisation du membre par une contention (plâtre).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4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4.1.2.7. Le cancer primitif de l’os : l’ostéosarcome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L’ostéosarcome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shd w:fill="auto" w:val="clear"/>
        </w:rPr>
        <w:t xml:space="preserve">est une tumeur maligne osseuse </w:t>
      </w:r>
      <w:r>
        <w:rPr>
          <w:rFonts w:ascii="Times New Roman" w:hAnsi="Times New Roman" w:cs="Times New Roman" w:eastAsia="Times New Roman"/>
          <w:color w:val="000000"/>
          <w:spacing w:val="0"/>
          <w:position w:val="0"/>
          <w:sz w:val="22"/>
          <w:shd w:fill="auto" w:val="clear"/>
        </w:rPr>
        <w:t xml:space="preserve">se développant surtout au niveau des extrémités des os longs. Si ce cancer est rare, il est néanmoins assez fréquemment rencontré en pédiatrie.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pronostic de ce cancer s’est certes amélioré mais reste encore sombre, le traitement repose sur l’ablation de la tumeur et la pose d’une prothèse.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51"/>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4.1.2.8. Métastases osseuses des cancers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métastases osseuses </w:t>
      </w:r>
      <w:r>
        <w:rPr>
          <w:rFonts w:ascii="Times New Roman" w:hAnsi="Times New Roman" w:cs="Times New Roman" w:eastAsia="Times New Roman"/>
          <w:color w:val="000000"/>
          <w:spacing w:val="0"/>
          <w:position w:val="0"/>
          <w:sz w:val="22"/>
          <w:shd w:fill="auto" w:val="clear"/>
        </w:rPr>
        <w:t xml:space="preserve">sont fréquentes chez l’adulte.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Elles apparaissent secondairement à une tumeur primitive située, dans la plupart des cas, au niveau des seins, des poumons, des reins ou de la prostate.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cellules cancéreuses de la tumeur primitive passent dans la circulation sanguine, se déplacent dans l’organisme et se fixent sur un autre organe.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L’os est fragilisé et le risque de fracture osseuse est très présent chez le patient ayant des métastases osseuses.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douleurs métastatiques osseuses sont intenses, difficiles à calmer. Leur prise en charge nécessite le plus souvent le recours aux antalgiques de </w:t>
      </w:r>
      <w:r>
        <w:rPr>
          <w:rFonts w:ascii="Times New Roman" w:hAnsi="Times New Roman" w:cs="Times New Roman" w:eastAsia="Times New Roman"/>
          <w:color w:val="auto"/>
          <w:spacing w:val="0"/>
          <w:position w:val="0"/>
          <w:sz w:val="22"/>
          <w:shd w:fill="auto" w:val="clear"/>
        </w:rPr>
        <w:t xml:space="preserve">palier</w:t>
      </w:r>
      <w:r>
        <w:rPr>
          <w:rFonts w:ascii="Times New Roman" w:hAnsi="Times New Roman" w:cs="Times New Roman" w:eastAsia="Times New Roman"/>
          <w:color w:val="000000"/>
          <w:spacing w:val="0"/>
          <w:position w:val="0"/>
          <w:sz w:val="22"/>
          <w:shd w:fill="auto" w:val="clear"/>
        </w:rPr>
        <w:t xml:space="preserve"> III de la famille des opiacés, dont la morphine fait partie.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peut être :</w:t>
      </w:r>
    </w:p>
    <w:p>
      <w:pPr>
        <w:numPr>
          <w:ilvl w:val="0"/>
          <w:numId w:val="5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chirurgical par une exérèse de la métastase par le chirurgien ;</w:t>
      </w:r>
    </w:p>
    <w:p>
      <w:pPr>
        <w:numPr>
          <w:ilvl w:val="0"/>
          <w:numId w:val="5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radiothérapique, avec une visée thérapeutique mais aussi antalgique ;</w:t>
      </w:r>
    </w:p>
    <w:p>
      <w:pPr>
        <w:numPr>
          <w:ilvl w:val="0"/>
          <w:numId w:val="53"/>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traumatologique lors de la survenue de fracture osseuse</w:t>
      </w:r>
      <w:r>
        <w:rPr>
          <w:rFonts w:ascii="Times New Roman" w:hAnsi="Times New Roman" w:cs="Times New Roman" w:eastAsia="Times New Roman"/>
          <w:color w:val="000000"/>
          <w:spacing w:val="0"/>
          <w:position w:val="0"/>
          <w:sz w:val="24"/>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55"/>
        </w:numPr>
        <w:spacing w:before="120" w:after="120" w:line="240"/>
        <w:ind w:right="0" w:left="2948"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4.1.2.8. La polyarthrite rhumatoïde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polyarthrite rhumatoïde ou PR est une maladie chronique inflammatoire des articulations</w:t>
      </w:r>
      <w:r>
        <w:rPr>
          <w:rFonts w:ascii="Times New Roman" w:hAnsi="Times New Roman" w:cs="Times New Roman" w:eastAsia="Times New Roman"/>
          <w:color w:val="000000"/>
          <w:spacing w:val="0"/>
          <w:position w:val="0"/>
          <w:sz w:val="22"/>
          <w:shd w:fill="auto" w:val="clear"/>
        </w:rPr>
        <w:t xml:space="preserve">. En effet, le patient sécrète des anticorps dirigés contre la membrane articulaire.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Cette maladie </w:t>
      </w:r>
      <w:r>
        <w:rPr>
          <w:rFonts w:ascii="Times New Roman" w:hAnsi="Times New Roman" w:cs="Times New Roman" w:eastAsia="Times New Roman"/>
          <w:b/>
          <w:color w:val="000000"/>
          <w:spacing w:val="0"/>
          <w:position w:val="0"/>
          <w:sz w:val="22"/>
          <w:shd w:fill="auto" w:val="clear"/>
        </w:rPr>
        <w:t xml:space="preserve">évolue par poussées</w:t>
      </w:r>
      <w:r>
        <w:rPr>
          <w:rFonts w:ascii="Times New Roman" w:hAnsi="Times New Roman" w:cs="Times New Roman" w:eastAsia="Times New Roman"/>
          <w:color w:val="000000"/>
          <w:spacing w:val="0"/>
          <w:position w:val="0"/>
          <w:sz w:val="22"/>
          <w:shd w:fill="auto" w:val="clear"/>
        </w:rPr>
        <w:t xml:space="preserve">. Les articulations sont peu à peu détruites par un processus inflammatoire et se déforment.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Au début de la maladie, le patient ressent des douleurs articulaires nocturnes et une raideur le matin. Les articulations sont </w:t>
      </w:r>
      <w:r>
        <w:rPr>
          <w:rFonts w:ascii="Times New Roman" w:hAnsi="Times New Roman" w:cs="Times New Roman" w:eastAsia="Times New Roman"/>
          <w:color w:val="000000"/>
          <w:spacing w:val="0"/>
          <w:position w:val="0"/>
          <w:sz w:val="22"/>
          <w:shd w:fill="auto" w:val="clear"/>
        </w:rPr>
        <w:t xml:space="preserve">œd</w:t>
      </w:r>
      <w:r>
        <w:rPr>
          <w:rFonts w:ascii="Times New Roman" w:hAnsi="Times New Roman" w:cs="Times New Roman" w:eastAsia="Times New Roman"/>
          <w:color w:val="000000"/>
          <w:spacing w:val="0"/>
          <w:position w:val="0"/>
          <w:sz w:val="22"/>
          <w:shd w:fill="auto" w:val="clear"/>
        </w:rPr>
        <w:t xml:space="preserve">ématiées et chaudes lors des poussées.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Devant ce tableau clinique, le médecin prescrit un bilan biologique pour rechercher la présence de facteurs rhumatoïdes et de marqueurs inflammatoires. Des radiographies sont aussi réalisées et le médecin peut constater la déminéralisation et l’aspect de l’articulation.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lors de la poussée est composé d’antalgiques, d’anti-inflammatoires et de corticoïdes.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de fond vise à retarder l’apparition d’une nouvelle poussée.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retrouve des antipaludéens et des chimiothérapies spécifiques (utilisées en cancérologie mais aussi pour des maladies auto-immunes).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Parfois, un traitement chirurgical est proposé au patient pour lui permettre de conserver le mouvement de son articulation de façon moins douloureuse. La chirurgie réparatrice peut aussi être proposée au patient quand l’articulation est très déformée.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57"/>
        </w:numPr>
        <w:spacing w:before="140" w:after="120" w:line="240"/>
        <w:ind w:right="0" w:left="2268" w:firstLine="0"/>
        <w:jc w:val="left"/>
        <w:rPr>
          <w:rFonts w:ascii="Times New Roman" w:hAnsi="Times New Roman" w:cs="Times New Roman" w:eastAsia="Times New Roman"/>
          <w:b/>
          <w:color w:val="A84A9D"/>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4.1.3. Examens complémentaires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En pratique</w:t>
      </w:r>
    </w:p>
    <w:p>
      <w:pPr>
        <w:keepNext w:val="true"/>
        <w:numPr>
          <w:ilvl w:val="0"/>
          <w:numId w:val="57"/>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4.1.3.1. La radiographie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radiographie est une technique d’imagerie médicale utilisant les rayons X et permettant l’impression sur du papier radiographique ou en numérique des structures internes du corps par contraste selon l’épaisseur et l’opacité des organes ou du squelette.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effet, des anomalies du squelette et des organes sont visibles par le médecin. C’est un bon examen d’orientation diagnostique, indolore et non invasif, réalisé par un manipulateur en radiologie ou un radiologue. Celui-ci interprète les images et établit un compte-rendu de l’examen.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radiographie permet d’apprécier la morphologie osseuse, les lésions du cartilage et les fractures en visualisant la rupture de continuité.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0"/>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4.1.3.2. La tomodensitométrie, ou scanner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tomodensitométrie, ou scanner, est une technique d’imagerie médicale utilisant les rayons X qui donne une image en coupes du corps humain. En effet, le patient est allongé sur une table d’examen mobile qui avance au travers d’un anneau. Pour affiner l’analyse, un produit de contraste contenant de l’iode peut être injecté au patient.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rayons parcourent ainsi le corps et ces images en coupes mises bout à bout permettent de reconstituer le corps du patient en 2D ou en 3D. L’examen est peu invasif mais il peut être un peu douloureux lors de la pose du cathéter veineux périphérique permettant l’injection du produit iodé.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Une vague de chaleur envahit le patient lors de l’injection et de la diffusion du produit, ce qui peut être désagréable. En cas d’allergie à l’iode, une préparation antiallergique est réalisée. Le patient est irradié mais à faible dose, ce qui ne représente pas de risque pour la santé. Le médecin visualise les os, les articulations et les cartilages.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2"/>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4.1.3.3. L’imagerie par résonance magnétique (IRM)</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L’imagerie par résonance magnétique, ou IRM, est une technique d’imagerie médicale par résonance magnétique. En effet, l’organisme est constitué d’atomes d’hydrogène qui vibrent quand ils sont soumis à ce magnétisme. L’appareil capte ensuite ces vibrations et les convertit en images. Cet examen est indolore mais très bruyant, car l’appareil tourne tout autour du patient. Un puissant aimant est utilisé, il faut donc bien veiller à ce que le patient retire tous objets métalliques tels que bijoux, prothèses dentaires… Cet examen est contre-indiqué pour les patients porteurs de stimulateurs cardiaques et d’implants dentaires. Il peut nécessiter l’injection de produit de contraste iodé. Dans ce cas-là, cela peut être un peu douloureux pour le patient lors de la pose du cathéter veineux périphérique et lors de l’injection du produit, qui provoque une vague de chaleur. L’IRM est réalisée pour visualiser l’os, les articulations et les cartilages.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4"/>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4.1.3.4. La scintigraphie osseuse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scintigraphie est une </w:t>
      </w:r>
      <w:r>
        <w:rPr>
          <w:rFonts w:ascii="Times New Roman" w:hAnsi="Times New Roman" w:cs="Times New Roman" w:eastAsia="Times New Roman"/>
          <w:b/>
          <w:color w:val="000000"/>
          <w:spacing w:val="0"/>
          <w:position w:val="0"/>
          <w:sz w:val="22"/>
          <w:shd w:fill="auto" w:val="clear"/>
        </w:rPr>
        <w:t xml:space="preserve">technique d’imagerie médicale pratiquée en médecine nucléaire</w:t>
      </w:r>
      <w:r>
        <w:rPr>
          <w:rFonts w:ascii="Times New Roman" w:hAnsi="Times New Roman" w:cs="Times New Roman" w:eastAsia="Times New Roman"/>
          <w:color w:val="000000"/>
          <w:spacing w:val="0"/>
          <w:position w:val="0"/>
          <w:sz w:val="22"/>
          <w:shd w:fill="auto" w:val="clear"/>
        </w:rPr>
        <w:t xml:space="preserve">. En effet, un </w:t>
      </w:r>
      <w:r>
        <w:rPr>
          <w:rFonts w:ascii="Times New Roman" w:hAnsi="Times New Roman" w:cs="Times New Roman" w:eastAsia="Times New Roman"/>
          <w:b/>
          <w:color w:val="000000"/>
          <w:spacing w:val="0"/>
          <w:position w:val="0"/>
          <w:sz w:val="22"/>
          <w:shd w:fill="auto" w:val="clear"/>
        </w:rPr>
        <w:t xml:space="preserve">produit de contraste radioactif est injecté</w:t>
      </w:r>
      <w:r>
        <w:rPr>
          <w:rFonts w:ascii="Times New Roman" w:hAnsi="Times New Roman" w:cs="Times New Roman" w:eastAsia="Times New Roman"/>
          <w:color w:val="000000"/>
          <w:spacing w:val="0"/>
          <w:position w:val="0"/>
          <w:sz w:val="22"/>
          <w:shd w:fill="auto" w:val="clear"/>
        </w:rPr>
        <w:t xml:space="preserve"> au patient, se fixe au niveau des os et circule en émettant des radiations. Une caméra capte ces radiations et reconstitue des images du squelette. Des anomalies osseuses peuvent être mises en évidence. C’est un examen invasif qui peut être légèrement douloureux lors de l’injection du produit radioactif. L’irradiation provoquée par le produit est très faible et ne présente pas de risque pour la santé.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6"/>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4.1.3.5. L’ostéodensitométrie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L’ostéodensitométrie est une technique d’imagerie médicale permettant d’évaluer et de quantifier la déminéralisation osseuse, et donc de poser le diagnostic d’ostéoporose. L’appareil radiographique émet des rayons X qui se heurtent aux tissus opaques de l’organisme tels que les os. Une partie des rayons est absorbée et l’autre réfléchie par le tissu et captée à nouveau par l’appareil qui les quantifie.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différence entre la quantité de rayons X envoyée et la quantité récupérée permet au radiologue de calculer la densité minérale osseuse. Les zones de mesure sont principalement le rachis lombaire et le col du fémur.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 examen est non invasif, indolore et de courte durée (15 à 30 minutes environ). Le patient doit rester en décubitus dorsal et immobile le temps des mesures.</w:t>
      </w:r>
    </w:p>
    <w:p>
      <w:pPr>
        <w:spacing w:before="0" w:after="160" w:line="259"/>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4.1.3.6. Salle de plâtre, préparation de contention et résine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salle de plâtre permet de réaliser l’appareillage de contention pour le membre atteint d’une fracture non déplacée, d’une entorse ou qui nécessite la mise au repos.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s’agit d’une salle équipée de plusieurs dispositifs, des arceaux notamment, qui permettent de surélever le membre pour passer les bandes de plâtre ou de résine pour réaliser la contention.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faut toujours s’assurer d’avoir des bandes de jersey en réserve, qui se placent sur le membre pour isoler la peau du matériel de contention. Il faut aussi avoir du plâtre ou des bandes de résine, des récipients propres de type bassines et de l’eau.</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est confortablement installé sur la table, une bande de jersey est placée sur le membre atteint puis le médecin imbibe les bandes de plâtre ou de résine et les enroule sur le jersey avec un sens et une technique </w:t>
      </w:r>
      <w:r>
        <w:rPr>
          <w:rFonts w:ascii="Times New Roman" w:hAnsi="Times New Roman" w:cs="Times New Roman" w:eastAsia="Times New Roman"/>
          <w:color w:val="auto"/>
          <w:spacing w:val="0"/>
          <w:position w:val="0"/>
          <w:sz w:val="22"/>
          <w:shd w:fill="auto" w:val="clear"/>
        </w:rPr>
        <w:t xml:space="preserve">précis.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distingue deux types de plâtres :</w:t>
      </w:r>
    </w:p>
    <w:p>
      <w:pPr>
        <w:numPr>
          <w:ilvl w:val="0"/>
          <w:numId w:val="7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plâtre circulaire : le membre est complètement contenu. Dans ce cas, il faut faire attention au risque de compression du membre.</w:t>
      </w:r>
    </w:p>
    <w:p>
      <w:pPr>
        <w:numPr>
          <w:ilvl w:val="0"/>
          <w:numId w:val="71"/>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plâtre ouvert.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 plus en plus, les bandes de résine sont utilisées à la place des bandes de plâtre en raison d’un temps de séchage d’environ 15 minutes contre 1 heure pour le plâtre.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Lors du retrait de la contention à la fin de l’immobilisation du membre, le médecin peut utiliser une scie qui découpe le matériau sans blesser la peau. La lame a été étudiée pour obtenir ce résultat et ne pas risquer de blesser le patient. Il existe aussi des ciseaux spéciaux pour l’ablation des contentions en résine.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73"/>
        </w:numPr>
        <w:spacing w:before="200" w:after="120" w:line="240"/>
        <w:ind w:right="0" w:left="1814"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2F5496"/>
          <w:spacing w:val="0"/>
          <w:position w:val="0"/>
          <w:sz w:val="28"/>
          <w:shd w:fill="auto" w:val="clear"/>
        </w:rPr>
        <w:t xml:space="preserve">4.2. Le tissu cutané</w:t>
      </w:r>
    </w:p>
    <w:p>
      <w:pPr>
        <w:keepNext w:val="true"/>
        <w:numPr>
          <w:ilvl w:val="0"/>
          <w:numId w:val="73"/>
        </w:numPr>
        <w:spacing w:before="140" w:after="120" w:line="240"/>
        <w:ind w:right="0" w:left="2268" w:firstLine="0"/>
        <w:jc w:val="left"/>
        <w:rPr>
          <w:rFonts w:ascii="Times New Roman" w:hAnsi="Times New Roman" w:cs="Times New Roman" w:eastAsia="Times New Roman"/>
          <w:b/>
          <w:color w:val="A84A9D"/>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4.2.1. Anatomie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peau est composée de trois couches : l’épiderme en surface, puis le derme et l’hypoderme en profondeur.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2"/>
          <w:shd w:fill="auto" w:val="clear"/>
        </w:rPr>
      </w:pPr>
      <w:r>
        <w:object w:dxaOrig="8968" w:dyaOrig="6621">
          <v:rect xmlns:o="urn:schemas-microsoft-com:office:office" xmlns:v="urn:schemas-microsoft-com:vml" id="rectole0000000007" style="width:448.400000pt;height:331.0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160" w:line="259"/>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77"/>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4.2.1.1. L’épiderme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C’est un tissu qui se renouvelle constamment. En effet, il est composé de quatre types de cellules :</w:t>
      </w:r>
    </w:p>
    <w:p>
      <w:pPr>
        <w:numPr>
          <w:ilvl w:val="0"/>
          <w:numId w:val="7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des kératinocytes qui se multiplient en profondeur de l’épiderme puis migrent vers la surface, deviennent des cornéocytes et meurent en desquamant ;</w:t>
      </w:r>
    </w:p>
    <w:p>
      <w:pPr>
        <w:numPr>
          <w:ilvl w:val="0"/>
          <w:numId w:val="7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des mélanocytes qui confèrent à la peau sa couleur en synthétisant la mélanine sous une influence hormonale. Ces cellules ont aussi un rôle protecteur contre les ultraviolets ;</w:t>
      </w:r>
    </w:p>
    <w:p>
      <w:pPr>
        <w:numPr>
          <w:ilvl w:val="0"/>
          <w:numId w:val="7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des cellules de Langerhans qui ont un rôle lors de réactions immunitaires ;</w:t>
      </w:r>
    </w:p>
    <w:p>
      <w:pPr>
        <w:numPr>
          <w:ilvl w:val="0"/>
          <w:numId w:val="7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des cellules de Merkel qui font partie du système endocrinien.</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p>
    <w:p>
      <w:pPr>
        <w:keepNext w:val="true"/>
        <w:numPr>
          <w:ilvl w:val="0"/>
          <w:numId w:val="81"/>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4.2.1.2. Le derme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derme est le tissu sur lequel repose l’épiderme. C’est un tissu particulièrement vascularisé et innervé car on y retrouve de nombreux vaisseaux sanguins et terminaisons nerveuses. Il est composé de fibres de collagène, de fibres élastiques et de cellules d’origine sanguine.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83"/>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4.2.1.3. L’hypoderme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L’hypoderme, couche la plus profonde de la peau, est composée de cellules graisseuses entre lesquelles des vaisseaux et des nerfs passent pour arriver jusqu’au derme.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85"/>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4.2.1.4. Les annexes cutanées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les annexes cutanées, on retrouve les glandes sudoripares qui sécrètent la sueur, les follicules pilo-sébacés (le poil, le cheveu et leur annexe, la glande sébacée) et les ongles, constitués de lames cornées.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87"/>
        </w:numPr>
        <w:spacing w:before="140" w:after="120" w:line="240"/>
        <w:ind w:right="0" w:left="2268" w:firstLine="0"/>
        <w:jc w:val="left"/>
        <w:rPr>
          <w:rFonts w:ascii="Times New Roman" w:hAnsi="Times New Roman" w:cs="Times New Roman" w:eastAsia="Times New Roman"/>
          <w:b/>
          <w:color w:val="A84A9D"/>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4.2.2. Physiologie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peau assure plusieurs rôles au sein de l’organisme :</w:t>
      </w:r>
    </w:p>
    <w:p>
      <w:pPr>
        <w:numPr>
          <w:ilvl w:val="0"/>
          <w:numId w:val="89"/>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protecteur contre différents types d’agressions (microbes, virus, produits chimiques…) </w:t>
      </w:r>
      <w:r>
        <w:rPr>
          <w:rFonts w:ascii="Times New Roman" w:hAnsi="Times New Roman" w:cs="Times New Roman" w:eastAsia="Times New Roman"/>
          <w:color w:val="000000"/>
          <w:spacing w:val="0"/>
          <w:position w:val="0"/>
          <w:sz w:val="24"/>
          <w:shd w:fill="auto" w:val="clear"/>
        </w:rPr>
        <w:t xml:space="preserve">;</w:t>
      </w:r>
    </w:p>
    <w:p>
      <w:pPr>
        <w:numPr>
          <w:ilvl w:val="0"/>
          <w:numId w:val="8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de thermorégulation de l’organisme. Lors de fortes chaleurs, elle contribue à l’évaporation de la sueur qui permet la diminution de la température interne par vasodilatation des vaisseaux. Lors de froids, une vasoconstriction permet de conserver la chaleur ;</w:t>
      </w:r>
    </w:p>
    <w:p>
      <w:pPr>
        <w:numPr>
          <w:ilvl w:val="0"/>
          <w:numId w:val="8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d’information, via de nombreux récepteurs sensitifs (douleur lors d’un choc, sensation de brûlure…) ;</w:t>
      </w:r>
    </w:p>
    <w:p>
      <w:pPr>
        <w:numPr>
          <w:ilvl w:val="0"/>
          <w:numId w:val="8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de synthèse de la vitamine D avec l’exposition aux ultraviolets (UV) ;</w:t>
      </w:r>
    </w:p>
    <w:p>
      <w:pPr>
        <w:numPr>
          <w:ilvl w:val="0"/>
          <w:numId w:val="89"/>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immunitaire (cellules de Langerhans)</w:t>
      </w:r>
      <w:r>
        <w:rPr>
          <w:rFonts w:ascii="Times New Roman" w:hAnsi="Times New Roman" w:cs="Times New Roman" w:eastAsia="Times New Roman"/>
          <w:color w:val="000000"/>
          <w:spacing w:val="0"/>
          <w:position w:val="0"/>
          <w:sz w:val="24"/>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91"/>
        </w:numPr>
        <w:spacing w:before="140" w:after="120" w:line="240"/>
        <w:ind w:right="0" w:left="2268" w:firstLine="0"/>
        <w:jc w:val="left"/>
        <w:rPr>
          <w:rFonts w:ascii="Times New Roman" w:hAnsi="Times New Roman" w:cs="Times New Roman" w:eastAsia="Times New Roman"/>
          <w:b/>
          <w:color w:val="A84A9D"/>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4.2.3. Principales pathologies</w:t>
      </w:r>
    </w:p>
    <w:p>
      <w:pPr>
        <w:keepNext w:val="true"/>
        <w:numPr>
          <w:ilvl w:val="0"/>
          <w:numId w:val="91"/>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4.2.3.1. Érysipèle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L’érysipèle est une infection cutanée aiguë du derme </w:t>
      </w:r>
      <w:r>
        <w:rPr>
          <w:rFonts w:ascii="Times New Roman" w:hAnsi="Times New Roman" w:cs="Times New Roman" w:eastAsia="Times New Roman"/>
          <w:color w:val="000000"/>
          <w:spacing w:val="0"/>
          <w:position w:val="0"/>
          <w:sz w:val="22"/>
          <w:shd w:fill="auto" w:val="clear"/>
        </w:rPr>
        <w:t xml:space="preserve">et de l’hypoderme due à une bactérie, le streptocoque betahémolytique du groupe A. Cette affection touche surtout les membres inférieurs. On observe une jambe rouge, chaude et </w:t>
      </w:r>
      <w:r>
        <w:rPr>
          <w:rFonts w:ascii="Times New Roman" w:hAnsi="Times New Roman" w:cs="Times New Roman" w:eastAsia="Times New Roman"/>
          <w:color w:val="000000"/>
          <w:spacing w:val="0"/>
          <w:position w:val="0"/>
          <w:sz w:val="22"/>
          <w:shd w:fill="auto" w:val="clear"/>
        </w:rPr>
        <w:t xml:space="preserve">œd</w:t>
      </w:r>
      <w:r>
        <w:rPr>
          <w:rFonts w:ascii="Times New Roman" w:hAnsi="Times New Roman" w:cs="Times New Roman" w:eastAsia="Times New Roman"/>
          <w:color w:val="000000"/>
          <w:spacing w:val="0"/>
          <w:position w:val="0"/>
          <w:sz w:val="22"/>
          <w:shd w:fill="auto" w:val="clear"/>
        </w:rPr>
        <w:t xml:space="preserve">ématiée. Ces signes apparaissent brutalement, le patient est fiévreux, il souffre et présente un placard inflammatoire bien limité sur la jambe. Le traitement repose sur l’administration d’antibiotiques par voie orale au domicile ou par voie intraveineuse en secteur de soins selon la gravité.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94"/>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4.2.3.2. Infections virales cutanées</w:t>
      </w:r>
    </w:p>
    <w:p>
      <w:pPr>
        <w:keepNext w:val="true"/>
        <w:numPr>
          <w:ilvl w:val="0"/>
          <w:numId w:val="94"/>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4.2.3.2.1. L’herpès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L’herpès (HSV) </w:t>
      </w:r>
      <w:r>
        <w:rPr>
          <w:rFonts w:ascii="Times New Roman" w:hAnsi="Times New Roman" w:cs="Times New Roman" w:eastAsia="Times New Roman"/>
          <w:color w:val="000000"/>
          <w:spacing w:val="0"/>
          <w:position w:val="0"/>
          <w:sz w:val="22"/>
          <w:shd w:fill="auto" w:val="clear"/>
        </w:rPr>
        <w:t xml:space="preserve">est en rapport avec un virus présent mais latent dans les ganglions et qui, selon des facteurs déclencheurs tels que le stress, des infections, l’exposition solaire et la prise de certains médicaments ou aliments, atteint l’individu avec une prédilection pour les régions labiale (bouquet d’herpès) et génitale. Le patient ressent une sensation de cuisson, des picotements ou prurit, puis une lésion érythémateuse apparaît avec des vésicules qui sèchent et forment des croûtes. La régression est spontanée, en 1 à 2 semaines, avec ou sans traitement (antiherpétiques).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C’est une maladie très contagieuse au cours des rapports sexuels.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97"/>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4.2.3.2.2. La varicelle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varicelle </w:t>
      </w:r>
      <w:r>
        <w:rPr>
          <w:rFonts w:ascii="Times New Roman" w:hAnsi="Times New Roman" w:cs="Times New Roman" w:eastAsia="Times New Roman"/>
          <w:color w:val="000000"/>
          <w:spacing w:val="0"/>
          <w:position w:val="0"/>
          <w:sz w:val="22"/>
          <w:shd w:fill="auto" w:val="clear"/>
        </w:rPr>
        <w:t xml:space="preserve">fait partie des maladies éruptives infantiles mais peut se rencontrer à tout âge de la vie. Elle est très contagieuse. La période d’incubation est de 14 jours. Le patient est fiévreux, fatigué et des macules rosées apparaissent sur le tronc, le cuir chevelu puis les paumes et plantes des mains et des pieds pour finir par le visage. Ces macules sont surmontées d’une vésicule contenant d’abord un liquide clair, qui se trouble, puis sèche et forme une croûte. Durant ce processus, le patient ressent de vives démangeaisons.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repose sur l’application locale d’antiseptique et, pour les enfants et en raison d’une forte contagion, l’éviction scolaire est nécessaire. La prise d’antiherpétiques est recommandée pour les patients immunodéprimés. On observe une guérison dans les 12 jours.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99"/>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4.2.3.2.3. Le zona</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zona </w:t>
      </w:r>
      <w:r>
        <w:rPr>
          <w:rFonts w:ascii="Times New Roman" w:hAnsi="Times New Roman" w:cs="Times New Roman" w:eastAsia="Times New Roman"/>
          <w:color w:val="000000"/>
          <w:spacing w:val="0"/>
          <w:position w:val="0"/>
          <w:sz w:val="22"/>
          <w:shd w:fill="auto" w:val="clear"/>
        </w:rPr>
        <w:t xml:space="preserve">est une réactivation du virus de la varicelle.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effet, on ne peut être atteint par un zona que si on a déjà eu la varicelle (primo-infection). Une fois guéri, le virus de la varicelle reste présent mais inactif dans les racines nerveuses. Parfois, le virus se réactive le long de la fibre nerveuse et on assiste à une éruption cutanée érythémateuse (rouge) unilatérale le long du trajet nerveux (métamérique).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Puis, l’érythème se couvre de vésicules groupées en bouquet qui, comme pour la varicelle, se dessèchent et forment des croûtes. Le patient est très algique.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comme pour la varicelle, consiste en l’application locale d’antiseptiques pour une désinfection cutanée mais aussi en la prise d’antalgiques. Pour les sujets âgés de plus de 50 ans et les sujets immunodéprimés, un antiherpétique est prescrit. Une guérison est observée entre 2 et 4 semaines.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les cas de zona ophtalmique, une consultation spécialisée s’impose du fait des risques d’atteinte de l’</w:t>
      </w:r>
      <w:r>
        <w:rPr>
          <w:rFonts w:ascii="Times New Roman" w:hAnsi="Times New Roman" w:cs="Times New Roman" w:eastAsia="Times New Roman"/>
          <w:color w:val="000000"/>
          <w:spacing w:val="0"/>
          <w:position w:val="0"/>
          <w:sz w:val="22"/>
          <w:shd w:fill="auto" w:val="clear"/>
        </w:rPr>
        <w:t xml:space="preserve">œil.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01"/>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4.2.3.3. Infections fongiques</w:t>
      </w:r>
    </w:p>
    <w:p>
      <w:pPr>
        <w:keepNext w:val="true"/>
        <w:numPr>
          <w:ilvl w:val="0"/>
          <w:numId w:val="101"/>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4.2.3.3.1. Candidoses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candidoses </w:t>
      </w:r>
      <w:r>
        <w:rPr>
          <w:rFonts w:ascii="Times New Roman" w:hAnsi="Times New Roman" w:cs="Times New Roman" w:eastAsia="Times New Roman"/>
          <w:color w:val="000000"/>
          <w:spacing w:val="0"/>
          <w:position w:val="0"/>
          <w:sz w:val="22"/>
          <w:shd w:fill="auto" w:val="clear"/>
        </w:rPr>
        <w:t xml:space="preserve">sont provoquées par un champignon, le plus souvent le </w:t>
      </w:r>
      <w:r>
        <w:rPr>
          <w:rFonts w:ascii="Times New Roman" w:hAnsi="Times New Roman" w:cs="Times New Roman" w:eastAsia="Times New Roman"/>
          <w:i/>
          <w:color w:val="000000"/>
          <w:spacing w:val="0"/>
          <w:position w:val="0"/>
          <w:sz w:val="22"/>
          <w:shd w:fill="auto" w:val="clear"/>
        </w:rPr>
        <w:t xml:space="preserve">Candida albicans</w:t>
      </w:r>
      <w:r>
        <w:rPr>
          <w:rFonts w:ascii="Times New Roman" w:hAnsi="Times New Roman" w:cs="Times New Roman" w:eastAsia="Times New Roman"/>
          <w:color w:val="000000"/>
          <w:spacing w:val="0"/>
          <w:position w:val="0"/>
          <w:sz w:val="22"/>
          <w:shd w:fill="auto" w:val="clear"/>
        </w:rPr>
        <w:t xml:space="preserve">, présent de manière naturelle et inoffensive dans l’organisme au niveau digestif et génital. Dans certains cas, ce champignon devient pathogène, comme dans les cas d’immunodépression, de prise de certains antibiotiques ou dans un contexte de diabète.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 prélèvement est réalisé à l’aide d’un écouvillon stérile. Le médecin procède aussi à un examen direct au microscope où il visualise des levures filamenteuses. L’écouvillon est mis en culture et des colonies se développent en 48 heures.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candidoses peuvent être buccales, digestives ou génitales.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repose sur la prise d’antifongiques généraux et sur des applications d’antifongiques locaux pour une durée de 15 jours environ.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04"/>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4.2.3.3.2. Pityriasis versicolor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pityriasis versicolor </w:t>
      </w:r>
      <w:r>
        <w:rPr>
          <w:rFonts w:ascii="Times New Roman" w:hAnsi="Times New Roman" w:cs="Times New Roman" w:eastAsia="Times New Roman"/>
          <w:color w:val="000000"/>
          <w:spacing w:val="0"/>
          <w:position w:val="0"/>
          <w:sz w:val="22"/>
          <w:shd w:fill="auto" w:val="clear"/>
        </w:rPr>
        <w:t xml:space="preserve">est une infection d’origine fongique provoquant une dépigmentation plus claire pour les peaux brunes et plus foncée pour les peaux claires. Des taches colorées apparaissent surtout sur le torse, le cou, le haut du dos et les bras. Une application de crème antimycosique permet la guérison. Cependant, le sujet reste sensible à cette affection et le traitement doit être renouvelé.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06"/>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4.2.3.4. Parasitoses cutanées</w:t>
      </w:r>
    </w:p>
    <w:p>
      <w:pPr>
        <w:keepNext w:val="true"/>
        <w:numPr>
          <w:ilvl w:val="0"/>
          <w:numId w:val="106"/>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4.2.3.4.1. La gale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gale </w:t>
      </w:r>
      <w:r>
        <w:rPr>
          <w:rFonts w:ascii="Times New Roman" w:hAnsi="Times New Roman" w:cs="Times New Roman" w:eastAsia="Times New Roman"/>
          <w:color w:val="000000"/>
          <w:spacing w:val="0"/>
          <w:position w:val="0"/>
          <w:sz w:val="22"/>
          <w:shd w:fill="auto" w:val="clear"/>
        </w:rPr>
        <w:t xml:space="preserve">est une pathologie contagieuse par contact interhumain direct. Un acarien, le sarcopte femelle, pathogène, creuse des sillons intra-épidermiques pour y déposer ses </w:t>
      </w:r>
      <w:r>
        <w:rPr>
          <w:rFonts w:ascii="Times New Roman" w:hAnsi="Times New Roman" w:cs="Times New Roman" w:eastAsia="Times New Roman"/>
          <w:color w:val="000000"/>
          <w:spacing w:val="0"/>
          <w:position w:val="0"/>
          <w:sz w:val="22"/>
          <w:shd w:fill="auto" w:val="clear"/>
        </w:rPr>
        <w:t xml:space="preserve">œufs. Le patient souffre de d</w:t>
      </w:r>
      <w:r>
        <w:rPr>
          <w:rFonts w:ascii="Times New Roman" w:hAnsi="Times New Roman" w:cs="Times New Roman" w:eastAsia="Times New Roman"/>
          <w:color w:val="000000"/>
          <w:spacing w:val="0"/>
          <w:position w:val="0"/>
          <w:sz w:val="22"/>
          <w:shd w:fill="auto" w:val="clear"/>
        </w:rPr>
        <w:t xml:space="preserve">émangeaisons, surtout nocturnes. On retrouve des lésions au niveau de la face antérieure des poignets, des espaces interdigitaux, de la face latérale des mains, des plis axillaires, des mamelons, de l’ombilic, des organes génitaux et des fesses. Sont épargnés, le haut du dos, le visage et le cuir chevelu.</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médecin observe des sillons scabieux se terminant par une papule érythémateuse où se trouve l’acarien. Le traitement consiste à traiter le patient mais aussi son entourage et son environnement. Le patient doit appliquer un traitement scabicide en lotion, crème ou spray sur tout le corps, sauf le visage et le cuir chevelu. Son linge doit être lavé à 60 °C et, pour les affaires non lavables, un spray acaricide doit être pulvérisé sur les surfaces.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09"/>
        </w:numPr>
        <w:spacing w:before="120" w:after="60" w:line="240"/>
        <w:ind w:right="0" w:left="2948" w:firstLine="0"/>
        <w:jc w:val="left"/>
        <w:rPr>
          <w:rFonts w:ascii="Times New Roman" w:hAnsi="Times New Roman" w:cs="Times New Roman" w:eastAsia="Times New Roman"/>
          <w:b/>
          <w:i/>
          <w:color w:val="BF71B6"/>
          <w:spacing w:val="0"/>
          <w:position w:val="0"/>
          <w:sz w:val="24"/>
          <w:shd w:fill="auto" w:val="clear"/>
        </w:rPr>
      </w:pPr>
      <w:r>
        <w:rPr>
          <w:rFonts w:ascii="Times New Roman" w:hAnsi="Times New Roman" w:cs="Times New Roman" w:eastAsia="Times New Roman"/>
          <w:b/>
          <w:i/>
          <w:color w:val="2F5496"/>
          <w:spacing w:val="0"/>
          <w:position w:val="0"/>
          <w:sz w:val="24"/>
          <w:shd w:fill="auto" w:val="clear"/>
        </w:rPr>
        <w:t xml:space="preserve">4.2.3.4.2. Pédiculose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pédiculose est une maladie parasitaire due à des poux</w:t>
      </w:r>
      <w:r>
        <w:rPr>
          <w:rFonts w:ascii="Times New Roman" w:hAnsi="Times New Roman" w:cs="Times New Roman" w:eastAsia="Times New Roman"/>
          <w:color w:val="000000"/>
          <w:spacing w:val="0"/>
          <w:position w:val="0"/>
          <w:sz w:val="22"/>
          <w:shd w:fill="auto" w:val="clear"/>
        </w:rPr>
        <w:t xml:space="preserve">. En effet, l’insecte se nourrit du sang de son hôte pour se développer et se reproduire. C’est une maladie propre à l’homme. On distingue trois types de pédiculoses :</w:t>
      </w:r>
    </w:p>
    <w:p>
      <w:pPr>
        <w:numPr>
          <w:ilvl w:val="0"/>
          <w:numId w:val="11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poux de tête (</w:t>
      </w:r>
      <w:r>
        <w:rPr>
          <w:rFonts w:ascii="Times New Roman" w:hAnsi="Times New Roman" w:cs="Times New Roman" w:eastAsia="Times New Roman"/>
          <w:i/>
          <w:color w:val="000000"/>
          <w:spacing w:val="0"/>
          <w:position w:val="0"/>
          <w:sz w:val="22"/>
          <w:shd w:fill="auto" w:val="clear"/>
        </w:rPr>
        <w:t xml:space="preserve">Pediculus humanus capitis</w:t>
      </w:r>
      <w:r>
        <w:rPr>
          <w:rFonts w:ascii="Times New Roman" w:hAnsi="Times New Roman" w:cs="Times New Roman" w:eastAsia="Times New Roman"/>
          <w:color w:val="000000"/>
          <w:spacing w:val="0"/>
          <w:position w:val="0"/>
          <w:sz w:val="22"/>
          <w:shd w:fill="auto" w:val="clear"/>
        </w:rPr>
        <w:t xml:space="preserve">) ;</w:t>
      </w:r>
    </w:p>
    <w:p>
      <w:pPr>
        <w:numPr>
          <w:ilvl w:val="0"/>
          <w:numId w:val="11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poux de corps (</w:t>
      </w:r>
      <w:r>
        <w:rPr>
          <w:rFonts w:ascii="Times New Roman" w:hAnsi="Times New Roman" w:cs="Times New Roman" w:eastAsia="Times New Roman"/>
          <w:i/>
          <w:color w:val="000000"/>
          <w:spacing w:val="0"/>
          <w:position w:val="0"/>
          <w:sz w:val="22"/>
          <w:shd w:fill="auto" w:val="clear"/>
        </w:rPr>
        <w:t xml:space="preserve">Pediculus humanus corporis</w:t>
      </w:r>
      <w:r>
        <w:rPr>
          <w:rFonts w:ascii="Times New Roman" w:hAnsi="Times New Roman" w:cs="Times New Roman" w:eastAsia="Times New Roman"/>
          <w:color w:val="000000"/>
          <w:spacing w:val="0"/>
          <w:position w:val="0"/>
          <w:sz w:val="22"/>
          <w:shd w:fill="auto" w:val="clear"/>
        </w:rPr>
        <w:t xml:space="preserve">) ;</w:t>
      </w:r>
    </w:p>
    <w:p>
      <w:pPr>
        <w:numPr>
          <w:ilvl w:val="0"/>
          <w:numId w:val="111"/>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poux du pubis (</w:t>
      </w:r>
      <w:r>
        <w:rPr>
          <w:rFonts w:ascii="Times New Roman" w:hAnsi="Times New Roman" w:cs="Times New Roman" w:eastAsia="Times New Roman"/>
          <w:i/>
          <w:color w:val="000000"/>
          <w:spacing w:val="0"/>
          <w:position w:val="0"/>
          <w:sz w:val="22"/>
          <w:shd w:fill="auto" w:val="clear"/>
        </w:rPr>
        <w:t xml:space="preserve">Phtirius pubis</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4"/>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13"/>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4.2.3.4.2.1. Pédiculose du cuir chevelu</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ce cas, on observe chez le patient un prurit (démangeaisons) du cuir chevelu, du haut du dos, des lésions de grattage, de nombreuses lentes et parfois un eczéma du cou. Le traitement consiste en l’application d’une lotion spécifique, son rinçage 12 heures plus tard et le renouvellement de cette opération 8 jours plus tard. Il est important de traiter aussi l’environnement et les vêtements du patient par un lavage à 60 °C.</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15"/>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4.2.3.4.2.2. Pédiculose du corps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régions corporelles atteintes par le parasite sont érythémateuses en raison d’un prurit important. On observe des lésions de grattage, des éruptions semblables à de l’urticaire.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ce cas, il sera important de </w:t>
      </w:r>
      <w:r>
        <w:rPr>
          <w:rFonts w:ascii="Times New Roman" w:hAnsi="Times New Roman" w:cs="Times New Roman" w:eastAsia="Times New Roman"/>
          <w:color w:val="auto"/>
          <w:spacing w:val="0"/>
          <w:position w:val="0"/>
          <w:sz w:val="22"/>
          <w:shd w:fill="auto" w:val="clear"/>
        </w:rPr>
        <w:t xml:space="preserve">chercher</w:t>
      </w:r>
      <w:r>
        <w:rPr>
          <w:rFonts w:ascii="Times New Roman" w:hAnsi="Times New Roman" w:cs="Times New Roman" w:eastAsia="Times New Roman"/>
          <w:color w:val="000000"/>
          <w:spacing w:val="0"/>
          <w:position w:val="0"/>
          <w:sz w:val="22"/>
          <w:shd w:fill="auto" w:val="clear"/>
        </w:rPr>
        <w:t xml:space="preserve"> des poux dans les vêtements du patient ainsi que les stigmates de la gale.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consiste en un savonnage méticuleux du patient puis en l’administration d’une lotion  spécifique pendant 12 à 24 heures. Les vêtements sont aussi traités et on procède au rasage des poils du patient.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17"/>
        </w:numPr>
        <w:spacing w:before="60" w:after="60" w:line="240"/>
        <w:ind w:right="0" w:left="3402" w:firstLine="0"/>
        <w:jc w:val="left"/>
        <w:rPr>
          <w:rFonts w:ascii="Times New Roman" w:hAnsi="Times New Roman" w:cs="Times New Roman" w:eastAsia="Times New Roman"/>
          <w:color w:val="925ADC"/>
          <w:spacing w:val="0"/>
          <w:position w:val="0"/>
          <w:sz w:val="24"/>
          <w:shd w:fill="auto" w:val="clear"/>
        </w:rPr>
      </w:pPr>
      <w:r>
        <w:rPr>
          <w:rFonts w:ascii="Times New Roman" w:hAnsi="Times New Roman" w:cs="Times New Roman" w:eastAsia="Times New Roman"/>
          <w:color w:val="2F5496"/>
          <w:spacing w:val="0"/>
          <w:position w:val="0"/>
          <w:sz w:val="22"/>
          <w:shd w:fill="auto" w:val="clear"/>
        </w:rPr>
        <w:t xml:space="preserve">4.2.3.4.2.3. Pédiculose pubienne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le cas d’une pédiculose pubienne, le patient présente un prurit pubien important avec des lésions de grattage associées.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est le même que pour la pédiculose du cuir chevelu, ainsi qu’un rasage des poils pubiens. Dans ce cas, un traitement du partenaire est nécessaire ainsi qu’un bilan pour rechercher d’autres infections sexuellement transmissibles (IST).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1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4.2.3.5. L’urticaire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L’urticaire </w:t>
      </w:r>
      <w:r>
        <w:rPr>
          <w:rFonts w:ascii="Times New Roman" w:hAnsi="Times New Roman" w:cs="Times New Roman" w:eastAsia="Times New Roman"/>
          <w:color w:val="000000"/>
          <w:spacing w:val="0"/>
          <w:position w:val="0"/>
          <w:sz w:val="22"/>
          <w:shd w:fill="auto" w:val="clear"/>
        </w:rPr>
        <w:t xml:space="preserve">est une maladie inflammatoire de la peau d’origine allergique.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patient présente des plaques rouges, bien délimitées et en relief. Les mastocytes, des globules blancs, ont libéré de l’histamine (médiateur inflammatoire), ce qui provoque une vasodilatation et l’apparition d’un </w:t>
      </w:r>
      <w:r>
        <w:rPr>
          <w:rFonts w:ascii="Times New Roman" w:hAnsi="Times New Roman" w:cs="Times New Roman" w:eastAsia="Times New Roman"/>
          <w:color w:val="000000"/>
          <w:spacing w:val="0"/>
          <w:position w:val="0"/>
          <w:sz w:val="22"/>
          <w:shd w:fill="auto" w:val="clear"/>
        </w:rPr>
        <w:t xml:space="preserve">œd</w:t>
      </w:r>
      <w:r>
        <w:rPr>
          <w:rFonts w:ascii="Times New Roman" w:hAnsi="Times New Roman" w:cs="Times New Roman" w:eastAsia="Times New Roman"/>
          <w:color w:val="000000"/>
          <w:spacing w:val="0"/>
          <w:position w:val="0"/>
          <w:sz w:val="22"/>
          <w:shd w:fill="auto" w:val="clear"/>
        </w:rPr>
        <w:t xml:space="preserve">ème dermique.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Quand cet </w:t>
      </w:r>
      <w:r>
        <w:rPr>
          <w:rFonts w:ascii="Times New Roman" w:hAnsi="Times New Roman" w:cs="Times New Roman" w:eastAsia="Times New Roman"/>
          <w:color w:val="000000"/>
          <w:spacing w:val="0"/>
          <w:position w:val="0"/>
          <w:sz w:val="22"/>
          <w:shd w:fill="auto" w:val="clear"/>
        </w:rPr>
        <w:t xml:space="preserve">œd</w:t>
      </w:r>
      <w:r>
        <w:rPr>
          <w:rFonts w:ascii="Times New Roman" w:hAnsi="Times New Roman" w:cs="Times New Roman" w:eastAsia="Times New Roman"/>
          <w:color w:val="000000"/>
          <w:spacing w:val="0"/>
          <w:position w:val="0"/>
          <w:sz w:val="22"/>
          <w:shd w:fill="auto" w:val="clear"/>
        </w:rPr>
        <w:t xml:space="preserve">ème s’étend aussi aux muqueuses, on parle d’</w:t>
      </w:r>
      <w:r>
        <w:rPr>
          <w:rFonts w:ascii="Times New Roman" w:hAnsi="Times New Roman" w:cs="Times New Roman" w:eastAsia="Times New Roman"/>
          <w:color w:val="000000"/>
          <w:spacing w:val="0"/>
          <w:position w:val="0"/>
          <w:sz w:val="22"/>
          <w:shd w:fill="auto" w:val="clear"/>
        </w:rPr>
        <w:t xml:space="preserve">œd</w:t>
      </w:r>
      <w:r>
        <w:rPr>
          <w:rFonts w:ascii="Times New Roman" w:hAnsi="Times New Roman" w:cs="Times New Roman" w:eastAsia="Times New Roman"/>
          <w:color w:val="000000"/>
          <w:spacing w:val="0"/>
          <w:position w:val="0"/>
          <w:sz w:val="22"/>
          <w:shd w:fill="auto" w:val="clear"/>
        </w:rPr>
        <w:t xml:space="preserve">ème de Quincke, ou d’angio-</w:t>
      </w:r>
      <w:r>
        <w:rPr>
          <w:rFonts w:ascii="Times New Roman" w:hAnsi="Times New Roman" w:cs="Times New Roman" w:eastAsia="Times New Roman"/>
          <w:color w:val="000000"/>
          <w:spacing w:val="0"/>
          <w:position w:val="0"/>
          <w:sz w:val="22"/>
          <w:shd w:fill="auto" w:val="clear"/>
        </w:rPr>
        <w:t xml:space="preserve">œd</w:t>
      </w:r>
      <w:r>
        <w:rPr>
          <w:rFonts w:ascii="Times New Roman" w:hAnsi="Times New Roman" w:cs="Times New Roman" w:eastAsia="Times New Roman"/>
          <w:color w:val="000000"/>
          <w:spacing w:val="0"/>
          <w:position w:val="0"/>
          <w:sz w:val="22"/>
          <w:shd w:fill="auto" w:val="clear"/>
        </w:rPr>
        <w:t xml:space="preserve">ème.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L’urticaire peut être aiguë, récidivante ou chronique.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causes d’apparition d’urticaire sont nombreuses et peuvent être :</w:t>
      </w:r>
    </w:p>
    <w:p>
      <w:pPr>
        <w:numPr>
          <w:ilvl w:val="0"/>
          <w:numId w:val="12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médicamenteuses ;</w:t>
      </w:r>
    </w:p>
    <w:p>
      <w:pPr>
        <w:numPr>
          <w:ilvl w:val="0"/>
          <w:numId w:val="12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alimentaires ;</w:t>
      </w:r>
    </w:p>
    <w:p>
      <w:pPr>
        <w:numPr>
          <w:ilvl w:val="0"/>
          <w:numId w:val="12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infectieuses ;</w:t>
      </w:r>
    </w:p>
    <w:p>
      <w:pPr>
        <w:numPr>
          <w:ilvl w:val="0"/>
          <w:numId w:val="12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de contact ;</w:t>
      </w:r>
    </w:p>
    <w:p>
      <w:pPr>
        <w:numPr>
          <w:ilvl w:val="0"/>
          <w:numId w:val="121"/>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physiques : en réaction au froid, au soleil…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est tout d’abord la recherche du facteur déclencheur de la crise puis son éviction. Le traitement symptomatique est la prescription d’antihistaminiques et, dans les formes graves, la prise de corticoïdes.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23"/>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4.2.3.6. L’eczéma</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L’eczéma </w:t>
      </w:r>
      <w:r>
        <w:rPr>
          <w:rFonts w:ascii="Times New Roman" w:hAnsi="Times New Roman" w:cs="Times New Roman" w:eastAsia="Times New Roman"/>
          <w:color w:val="000000"/>
          <w:spacing w:val="0"/>
          <w:position w:val="0"/>
          <w:sz w:val="22"/>
          <w:shd w:fill="auto" w:val="clear"/>
        </w:rPr>
        <w:t xml:space="preserve">est une maladie inflammatoire cutanée, c’est une affection érythémateuse prurigineuse massive en plaques. On en distingue deux types : l’eczéma de contact (réaction au contact d’une substance allergène) et l’eczéma atopique, ou dermatite atopique (résulte d’anomalies immunologiques et cutanées d’origine génétique). Pour l’eczéma de contact, le traitement repose sur la recherche de l’allergène en cause. Le médecin réalise pour cela un « patch-test ». De faibles quantités d’allergène sont mises au contact de la peau du patient au niveau du dos et une lecture est réalisée 2 jours plus tard. Pour les deux types d’eczéma, un traitement lors de la phase aiguë consiste en l’application de corticoïdes locaux. Dans le cas de la dermatite atopique, des immunosuppresseurs peuvent être prescrits ainsi que des antihistaminiques oraux pour ce qui concerne le traitement de fond. Dans le cas de l’eczéma de contact, le traitement de fond est l’éviction de l’allergène et la protection face aux agressions allergisantes.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25"/>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4.2.3.7. Le psoriasis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psoriasis </w:t>
      </w:r>
      <w:r>
        <w:rPr>
          <w:rFonts w:ascii="Times New Roman" w:hAnsi="Times New Roman" w:cs="Times New Roman" w:eastAsia="Times New Roman"/>
          <w:color w:val="000000"/>
          <w:spacing w:val="0"/>
          <w:position w:val="0"/>
          <w:sz w:val="22"/>
          <w:shd w:fill="auto" w:val="clear"/>
        </w:rPr>
        <w:t xml:space="preserve">est une anomalie du kératinocyte, qui se multiplie en très grand nombre et qui se différencie anormalement. Les zones touchées sont généralement les coudes, les genoux, la région sacrée et le cuir chevelu.</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Une couche squameuse blanchâtre et sèche apparaît avec un érythème sur le pourtour des squames qui délimite très bien la lésion.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Quand cette pathologie est chronique, on retrouve des facteurs déclencheurs tels que le stress, un syndrome infectieux, des substances toxiques (alcool) et certains médicaments.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est local via l’application de corticoïdes locaux et, dans certains cas graves, un traitement immunosuppresseur peut être envisagé.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27"/>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4.2.3.8. La pemphigoïde bulleuse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Au cours de cette </w:t>
      </w:r>
      <w:r>
        <w:rPr>
          <w:rFonts w:ascii="Times New Roman" w:hAnsi="Times New Roman" w:cs="Times New Roman" w:eastAsia="Times New Roman"/>
          <w:b/>
          <w:color w:val="000000"/>
          <w:spacing w:val="0"/>
          <w:position w:val="0"/>
          <w:sz w:val="22"/>
          <w:shd w:fill="auto" w:val="clear"/>
        </w:rPr>
        <w:t xml:space="preserve">maladie bulleuse, </w:t>
      </w:r>
      <w:r>
        <w:rPr>
          <w:rFonts w:ascii="Times New Roman" w:hAnsi="Times New Roman" w:cs="Times New Roman" w:eastAsia="Times New Roman"/>
          <w:color w:val="000000"/>
          <w:spacing w:val="0"/>
          <w:position w:val="0"/>
          <w:sz w:val="22"/>
          <w:shd w:fill="auto" w:val="clear"/>
        </w:rPr>
        <w:t xml:space="preserve">le patient présente des bulles sous-épidermiques sur des placards érythémateux qui démangent. Cette pathologie survient chez les personnes de plus de 70 ans et est chronique. Le traitement est constitué d’une corticothérapie couplée à une antibiothérapie par voie orale au long cours.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2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4.2.3.9. Le mélanome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mélanome est une tumeur maligne </w:t>
      </w:r>
      <w:r>
        <w:rPr>
          <w:rFonts w:ascii="Times New Roman" w:hAnsi="Times New Roman" w:cs="Times New Roman" w:eastAsia="Times New Roman"/>
          <w:color w:val="000000"/>
          <w:spacing w:val="0"/>
          <w:position w:val="0"/>
          <w:sz w:val="22"/>
          <w:shd w:fill="auto" w:val="clear"/>
        </w:rPr>
        <w:t xml:space="preserve">se développant à partir des mélanocytes. Les facteurs favorisant la survenue de cette pathologie sont les personnes avec un phototype clair, des expositions solaires, des cas recensés dans la famille, la génétique ainsi que le nombre, la taille et l’aspect de nævus (grain de beauté) de la personne.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L’examen clinique et l’interrogatoire du patient donnent au médecin des arguments en faveur du diagnostic de mélanome. On retrouve, selon les règles A, B, C, D, E :</w:t>
      </w:r>
    </w:p>
    <w:p>
      <w:pPr>
        <w:numPr>
          <w:ilvl w:val="0"/>
          <w:numId w:val="13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l’asymétrie ;</w:t>
      </w:r>
    </w:p>
    <w:p>
      <w:pPr>
        <w:numPr>
          <w:ilvl w:val="0"/>
          <w:numId w:val="13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bords irréguliers ;</w:t>
      </w:r>
    </w:p>
    <w:p>
      <w:pPr>
        <w:numPr>
          <w:ilvl w:val="0"/>
          <w:numId w:val="13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une couleur hétérogène ;</w:t>
      </w:r>
    </w:p>
    <w:p>
      <w:pPr>
        <w:numPr>
          <w:ilvl w:val="0"/>
          <w:numId w:val="13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 diamètre supérieur à 6 millimètres ;</w:t>
      </w:r>
    </w:p>
    <w:p>
      <w:pPr>
        <w:numPr>
          <w:ilvl w:val="0"/>
          <w:numId w:val="13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une extension au cours du temps ;</w:t>
      </w:r>
    </w:p>
    <w:p>
      <w:pPr>
        <w:numPr>
          <w:ilvl w:val="0"/>
          <w:numId w:val="131"/>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des modifications récentes : de taille, de couleur, la présence de saignements…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traitement est tout d’abord chirurgical, avec l’ablation complète et l’analyse en anatomopathologie de la lésion. Une chimiothérapie est envisagée si le cancer a évolué et si le patient présente des métastases. </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Après la chirurgie, une surveillance médicale très régulière est nécessaire pour dépister de nouvelles lésions. L’entourage familial peut aussi être suivi. Plus la prise en charge est précoce, plus les chances de survie sont élevées.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33"/>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4.2.3.10. Carcinomes cutanés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carcinomes cutanés </w:t>
      </w:r>
      <w:r>
        <w:rPr>
          <w:rFonts w:ascii="Times New Roman" w:hAnsi="Times New Roman" w:cs="Times New Roman" w:eastAsia="Times New Roman"/>
          <w:color w:val="000000"/>
          <w:spacing w:val="0"/>
          <w:position w:val="0"/>
          <w:sz w:val="22"/>
          <w:shd w:fill="auto" w:val="clear"/>
        </w:rPr>
        <w:t xml:space="preserve">les plus souvent rencontrés sont l’épithélioma basocellulaire et spinocellulaire. Ce sont des tumeurs malignes locales de couches superficielles de la peau n’entraînant pas de métastases mais nécessitant une biopsie puis une exérèse (ablation), car elles sont très agressives localement.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35"/>
        </w:numPr>
        <w:spacing w:before="140" w:after="120" w:line="240"/>
        <w:ind w:right="0" w:left="2268" w:firstLine="0"/>
        <w:jc w:val="left"/>
        <w:rPr>
          <w:rFonts w:ascii="Times New Roman" w:hAnsi="Times New Roman" w:cs="Times New Roman" w:eastAsia="Times New Roman"/>
          <w:b/>
          <w:color w:val="A84A9D"/>
          <w:spacing w:val="0"/>
          <w:position w:val="0"/>
          <w:sz w:val="26"/>
          <w:shd w:fill="auto" w:val="clear"/>
        </w:rPr>
      </w:pPr>
      <w:r>
        <w:rPr>
          <w:rFonts w:ascii="Times New Roman" w:hAnsi="Times New Roman" w:cs="Times New Roman" w:eastAsia="Times New Roman"/>
          <w:color w:val="2F5496"/>
          <w:spacing w:val="0"/>
          <w:position w:val="0"/>
          <w:sz w:val="24"/>
          <w:shd w:fill="auto" w:val="clear"/>
        </w:rPr>
        <w:t xml:space="preserve">4.2.4. Examens complémentaires </w:t>
      </w:r>
      <w:r>
        <w:rPr>
          <w:rFonts w:ascii="Times New Roman" w:hAnsi="Times New Roman" w:cs="Times New Roman" w:eastAsia="Times New Roman"/>
          <w:color w:val="2F5496"/>
          <w:spacing w:val="0"/>
          <w:position w:val="0"/>
          <w:sz w:val="24"/>
          <w:shd w:fill="auto" w:val="clear"/>
        </w:rPr>
        <w:t xml:space="preserve">–</w:t>
      </w:r>
      <w:r>
        <w:rPr>
          <w:rFonts w:ascii="Times New Roman" w:hAnsi="Times New Roman" w:cs="Times New Roman" w:eastAsia="Times New Roman"/>
          <w:color w:val="2F5496"/>
          <w:spacing w:val="0"/>
          <w:position w:val="0"/>
          <w:sz w:val="24"/>
          <w:shd w:fill="auto" w:val="clear"/>
        </w:rPr>
        <w:t xml:space="preserve"> En pratique</w:t>
      </w:r>
    </w:p>
    <w:p>
      <w:pPr>
        <w:keepNext w:val="true"/>
        <w:numPr>
          <w:ilvl w:val="0"/>
          <w:numId w:val="135"/>
        </w:numPr>
        <w:tabs>
          <w:tab w:val="left" w:pos="75" w:leader="none"/>
        </w:tabs>
        <w:spacing w:before="120" w:after="120" w:line="240"/>
        <w:ind w:right="0" w:left="2665" w:firstLine="0"/>
        <w:jc w:val="left"/>
        <w:rPr>
          <w:rFonts w:ascii="Times New Roman" w:hAnsi="Times New Roman" w:cs="Times New Roman" w:eastAsia="Times New Roman"/>
          <w:i/>
          <w:color w:val="2F5496"/>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4.2.4.1. La biopsie cutanée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médecin réalise ce prélèvement d’un fragment de peau sous anesthésie locale. Une analyse est ensuite effectuée dans différents laboratoires (mycologie, parasitologie, anatomopathologie, virologie).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résultat permet d’orienter le diagnostic du dermatologue et d’adapter le traitement.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38"/>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4.2.4.2. Prélèvement cutané : écouvillon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Comme pour la biopsie cutanée, les prélèvements résultant de cet examen non invasif sont envoyés dans différents laboratoires.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général, on réalise un écouvillon par laboratoire.</w:t>
      </w:r>
    </w:p>
    <w:p>
      <w:pPr>
        <w:numPr>
          <w:ilvl w:val="0"/>
          <w:numId w:val="14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accueilli et son identité est vérifiée pour bien identifier les prélèvements qui vont être réalisés. On se munit du nombre d’écouvillons nécessaires.</w:t>
      </w:r>
    </w:p>
    <w:p>
      <w:pPr>
        <w:numPr>
          <w:ilvl w:val="0"/>
          <w:numId w:val="14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l’aide à se dévêtir pour avoir accès à la lésion à prélever. Il est rassuré sur le caractère indolore et non invasif du prélèvement.</w:t>
      </w:r>
    </w:p>
    <w:p>
      <w:pPr>
        <w:numPr>
          <w:ilvl w:val="0"/>
          <w:numId w:val="14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confortablement installé.</w:t>
      </w:r>
    </w:p>
    <w:p>
      <w:pPr>
        <w:numPr>
          <w:ilvl w:val="0"/>
          <w:numId w:val="14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se lave les mains et on met des gants non stériles à usage unique.</w:t>
      </w:r>
    </w:p>
    <w:p>
      <w:pPr>
        <w:numPr>
          <w:ilvl w:val="0"/>
          <w:numId w:val="14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L’écouvillon est passé sur la lésion puis remis dans le tube prévu à cet effet. L’opération est renouvelée autant de fois que nécessaire pour réaliser tous les prélèvements prévus.</w:t>
      </w:r>
    </w:p>
    <w:p>
      <w:pPr>
        <w:numPr>
          <w:ilvl w:val="0"/>
          <w:numId w:val="14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retire les gants et on se lave les mains.</w:t>
      </w:r>
    </w:p>
    <w:p>
      <w:pPr>
        <w:numPr>
          <w:ilvl w:val="0"/>
          <w:numId w:val="140"/>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patient est aidé à se rhabiller et raccompagné.</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p>
    <w:p>
      <w:pPr>
        <w:keepNext w:val="true"/>
        <w:numPr>
          <w:ilvl w:val="0"/>
          <w:numId w:val="142"/>
        </w:numPr>
        <w:spacing w:before="240" w:after="120" w:line="240"/>
        <w:ind w:right="0" w:left="1531" w:firstLine="0"/>
        <w:jc w:val="left"/>
        <w:rPr>
          <w:rFonts w:ascii="Times New Roman" w:hAnsi="Times New Roman" w:cs="Times New Roman" w:eastAsia="Times New Roman"/>
          <w:b/>
          <w:color w:val="2F5496"/>
          <w:spacing w:val="0"/>
          <w:position w:val="0"/>
          <w:sz w:val="32"/>
          <w:shd w:fill="auto" w:val="clear"/>
        </w:rPr>
      </w:pPr>
      <w:r>
        <w:rPr>
          <w:rFonts w:ascii="Times New Roman" w:hAnsi="Times New Roman" w:cs="Times New Roman" w:eastAsia="Times New Roman"/>
          <w:b/>
          <w:color w:val="2F5496"/>
          <w:spacing w:val="0"/>
          <w:position w:val="0"/>
          <w:sz w:val="32"/>
          <w:shd w:fill="auto" w:val="clear"/>
        </w:rPr>
        <w:t xml:space="preserve">5. Divers</w:t>
      </w:r>
    </w:p>
    <w:p>
      <w:pPr>
        <w:keepNext w:val="true"/>
        <w:numPr>
          <w:ilvl w:val="0"/>
          <w:numId w:val="142"/>
        </w:numPr>
        <w:spacing w:before="200" w:after="120" w:line="240"/>
        <w:ind w:right="0" w:left="1814" w:firstLine="0"/>
        <w:jc w:val="left"/>
        <w:rPr>
          <w:rFonts w:ascii="Times New Roman" w:hAnsi="Times New Roman" w:cs="Times New Roman" w:eastAsia="Times New Roman"/>
          <w:b/>
          <w:color w:val="002060"/>
          <w:spacing w:val="0"/>
          <w:position w:val="0"/>
          <w:sz w:val="28"/>
          <w:shd w:fill="auto" w:val="clear"/>
        </w:rPr>
      </w:pPr>
      <w:r>
        <w:rPr>
          <w:rFonts w:ascii="Times New Roman" w:hAnsi="Times New Roman" w:cs="Times New Roman" w:eastAsia="Times New Roman"/>
          <w:b/>
          <w:color w:val="2F5496"/>
          <w:spacing w:val="0"/>
          <w:position w:val="0"/>
          <w:sz w:val="28"/>
          <w:shd w:fill="auto" w:val="clear"/>
        </w:rPr>
        <w:t xml:space="preserve">5.1. Recueil de données</w:t>
      </w:r>
    </w:p>
    <w:p>
      <w:pPr>
        <w:keepNext w:val="true"/>
        <w:numPr>
          <w:ilvl w:val="0"/>
          <w:numId w:val="142"/>
        </w:numPr>
        <w:spacing w:before="140" w:after="120" w:line="240"/>
        <w:ind w:right="0" w:left="2268" w:firstLine="0"/>
        <w:jc w:val="left"/>
        <w:rPr>
          <w:rFonts w:ascii="Times New Roman" w:hAnsi="Times New Roman" w:cs="Times New Roman" w:eastAsia="Times New Roman"/>
          <w:b/>
          <w:color w:val="A84A9D"/>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5.1.1. Les différentes données du recueil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Lors de la première consultation du patient, il est important de constituer un dossier regroupant des informations importantes (</w:t>
      </w:r>
      <w:r>
        <w:rPr>
          <w:rFonts w:ascii="Times New Roman" w:hAnsi="Times New Roman" w:cs="Times New Roman" w:eastAsia="Times New Roman"/>
          <w:b/>
          <w:color w:val="000000"/>
          <w:spacing w:val="0"/>
          <w:position w:val="0"/>
          <w:sz w:val="22"/>
          <w:shd w:fill="auto" w:val="clear"/>
        </w:rPr>
        <w:t xml:space="preserve">anamnèse</w:t>
      </w:r>
      <w:r>
        <w:rPr>
          <w:rFonts w:ascii="Times New Roman" w:hAnsi="Times New Roman" w:cs="Times New Roman" w:eastAsia="Times New Roman"/>
          <w:color w:val="000000"/>
          <w:spacing w:val="0"/>
          <w:position w:val="0"/>
          <w:sz w:val="22"/>
          <w:shd w:fill="auto" w:val="clear"/>
        </w:rPr>
        <w:t xml:space="preserve">) pour sa prise en charge.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Soit on donne une feuille à remplir au patient avec les différentes rubriques à renseigner, soit on conduit un entretien avec le patient, en évitant qu’il se sente questionné comme lors d’un interrogatoire. C’est pour cela qu’il est important de le prévenir du but de l’entretien (mieux le connaître) et de la multitude de questions pour atteindre cet objectif.</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démarre l’entretien par la question du motif de consultation. On peut alors cibler le problème pour lequel le patient vient consulter ou réaliser un examen spécifique.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Ensuite, on lui demande de retracer son parcours médical : quels sont ses antécédents médicaux et chirurgicaux, s’il est allergique à des composants ou à des médicaments, quels médicaments il prend quotidiennement ou épisodiquement ainsi que d’autres informations utiles au médecin.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questions suivantes portent sur les habitudes alimentaires de la personne afin de savoir si elle suit un régime diététique particulier (régime sans sel, sans </w:t>
      </w:r>
      <w:r>
        <w:rPr>
          <w:rFonts w:ascii="Times New Roman" w:hAnsi="Times New Roman" w:cs="Times New Roman" w:eastAsia="Times New Roman"/>
          <w:color w:val="auto"/>
          <w:spacing w:val="0"/>
          <w:position w:val="0"/>
          <w:sz w:val="22"/>
          <w:shd w:fill="auto" w:val="clear"/>
        </w:rPr>
        <w:t xml:space="preserve">sucre,</w:t>
      </w:r>
      <w:r>
        <w:rPr>
          <w:rFonts w:ascii="Times New Roman" w:hAnsi="Times New Roman" w:cs="Times New Roman" w:eastAsia="Times New Roman"/>
          <w:color w:val="000000"/>
          <w:spacing w:val="0"/>
          <w:position w:val="0"/>
          <w:sz w:val="22"/>
          <w:shd w:fill="auto" w:val="clear"/>
        </w:rPr>
        <w:t xml:space="preserve"> sans gluten).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Ensuite, on pèse le patient et on lui demande son poids habituel, pour le comparer. Puis on le mesure et on </w:t>
      </w:r>
      <w:r>
        <w:rPr>
          <w:rFonts w:ascii="Times New Roman" w:hAnsi="Times New Roman" w:cs="Times New Roman" w:eastAsia="Times New Roman"/>
          <w:color w:val="auto"/>
          <w:spacing w:val="0"/>
          <w:position w:val="0"/>
          <w:sz w:val="22"/>
          <w:shd w:fill="auto" w:val="clear"/>
        </w:rPr>
        <w:t xml:space="preserve">note</w:t>
      </w:r>
      <w:r>
        <w:rPr>
          <w:rFonts w:ascii="Times New Roman" w:hAnsi="Times New Roman" w:cs="Times New Roman" w:eastAsia="Times New Roman"/>
          <w:color w:val="000000"/>
          <w:spacing w:val="0"/>
          <w:position w:val="0"/>
          <w:sz w:val="22"/>
          <w:shd w:fill="auto" w:val="clear"/>
        </w:rPr>
        <w:t xml:space="preserve"> toutes ces données dans le dossier médical du patient. On peut également calculer l’indice de masse corporelle du patient, ou IMC. C’est un calcul correspondant à la division du poids sur la taille au carré.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Une fois ces questions posées, on demande à la personne de présenter sa carte Vitale et sa carte de mutuelle. On s’assure ainsi de sa couverture sociale et on peut commencer les démarches administratives en lien avec la consultation.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46"/>
        </w:numPr>
        <w:spacing w:before="200" w:after="120" w:line="240"/>
        <w:ind w:right="0" w:left="1814"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2F5496"/>
          <w:spacing w:val="0"/>
          <w:position w:val="0"/>
          <w:sz w:val="28"/>
          <w:shd w:fill="auto" w:val="clear"/>
        </w:rPr>
        <w:t xml:space="preserve">5.2. La vaccination</w:t>
      </w:r>
    </w:p>
    <w:p>
      <w:pPr>
        <w:keepNext w:val="true"/>
        <w:numPr>
          <w:ilvl w:val="0"/>
          <w:numId w:val="146"/>
        </w:numPr>
        <w:spacing w:before="140" w:after="120" w:line="240"/>
        <w:ind w:right="0" w:left="2268" w:firstLine="0"/>
        <w:jc w:val="left"/>
        <w:rPr>
          <w:rFonts w:ascii="Times New Roman" w:hAnsi="Times New Roman" w:cs="Times New Roman" w:eastAsia="Times New Roman"/>
          <w:b/>
          <w:color w:val="A84A9D"/>
          <w:spacing w:val="0"/>
          <w:position w:val="0"/>
          <w:sz w:val="26"/>
          <w:shd w:fill="auto" w:val="clear"/>
        </w:rPr>
      </w:pPr>
      <w:r>
        <w:rPr>
          <w:rFonts w:ascii="Times New Roman" w:hAnsi="Times New Roman" w:cs="Times New Roman" w:eastAsia="Times New Roman"/>
          <w:color w:val="2F5496"/>
          <w:spacing w:val="0"/>
          <w:position w:val="0"/>
          <w:sz w:val="24"/>
          <w:shd w:fill="auto" w:val="clear"/>
        </w:rPr>
        <w:t xml:space="preserve">5.2.1.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vaccination est un procédé permettant au corps humain de développer des anticorps </w:t>
      </w:r>
      <w:r>
        <w:rPr>
          <w:rFonts w:ascii="Times New Roman" w:hAnsi="Times New Roman" w:cs="Times New Roman" w:eastAsia="Times New Roman"/>
          <w:color w:val="000000"/>
          <w:spacing w:val="0"/>
          <w:position w:val="0"/>
          <w:sz w:val="22"/>
          <w:shd w:fill="auto" w:val="clear"/>
        </w:rPr>
        <w:t xml:space="preserve">contre certains virus, bactéries ou toxines. En effet, un microbe inactif ou une substance sont inoculés. La maladie ne se développe pas mais le système immunitaire réagit en fabriquant des anticorps spécifiques et garde en mémoire le mécanisme de défense. De cette manière, si l’individu est en contact avec le microbe actif, son corps se défendra, détruira ces microbes et il n’y aura pas d’apparition de la maladie.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49"/>
        </w:numPr>
        <w:spacing w:before="140" w:after="120" w:line="240"/>
        <w:ind w:right="0" w:left="2268" w:firstLine="0"/>
        <w:jc w:val="left"/>
        <w:rPr>
          <w:rFonts w:ascii="Times New Roman" w:hAnsi="Times New Roman" w:cs="Times New Roman" w:eastAsia="Times New Roman"/>
          <w:b/>
          <w:color w:val="A84A9D"/>
          <w:spacing w:val="0"/>
          <w:position w:val="0"/>
          <w:sz w:val="26"/>
          <w:shd w:fill="auto" w:val="clear"/>
        </w:rPr>
      </w:pPr>
      <w:r>
        <w:rPr>
          <w:rFonts w:ascii="Times New Roman" w:hAnsi="Times New Roman" w:cs="Times New Roman" w:eastAsia="Times New Roman"/>
          <w:color w:val="2F5496"/>
          <w:spacing w:val="0"/>
          <w:position w:val="0"/>
          <w:sz w:val="24"/>
          <w:shd w:fill="auto" w:val="clear"/>
        </w:rPr>
        <w:t xml:space="preserve">5.2.2. Les vaccins obligatoires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diphtérie-tétanos : </w:t>
      </w:r>
      <w:r>
        <w:rPr>
          <w:rFonts w:ascii="Times New Roman" w:hAnsi="Times New Roman" w:cs="Times New Roman" w:eastAsia="Times New Roman"/>
          <w:color w:val="000000"/>
          <w:spacing w:val="0"/>
          <w:position w:val="0"/>
          <w:sz w:val="22"/>
          <w:shd w:fill="auto" w:val="clear"/>
        </w:rPr>
        <w:t xml:space="preserve">la première injection entre 2 et 4 mois et le premier rappel à 11 mois sont obligatoires. Par la suite, les rappels sont seulement recommandés.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poliomyélite </w:t>
      </w:r>
      <w:r>
        <w:rPr>
          <w:rFonts w:ascii="Times New Roman" w:hAnsi="Times New Roman" w:cs="Times New Roman" w:eastAsia="Times New Roman"/>
          <w:color w:val="000000"/>
          <w:spacing w:val="0"/>
          <w:position w:val="0"/>
          <w:sz w:val="22"/>
          <w:shd w:fill="auto" w:val="clear"/>
        </w:rPr>
        <w:t xml:space="preserve">: la première injection et les rappels sont obligatoires jusqu’à 13 ans.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fièvre jaune </w:t>
      </w:r>
      <w:r>
        <w:rPr>
          <w:rFonts w:ascii="Times New Roman" w:hAnsi="Times New Roman" w:cs="Times New Roman" w:eastAsia="Times New Roman"/>
          <w:color w:val="000000"/>
          <w:spacing w:val="0"/>
          <w:position w:val="0"/>
          <w:sz w:val="22"/>
          <w:shd w:fill="auto" w:val="clear"/>
        </w:rPr>
        <w:t xml:space="preserve">: obligatoire pour les habitants de la Guyane</w:t>
      </w:r>
      <w:r>
        <w:rPr>
          <w:rFonts w:ascii="Times New Roman" w:hAnsi="Times New Roman" w:cs="Times New Roman" w:eastAsia="Times New Roman"/>
          <w:color w:val="000000"/>
          <w:spacing w:val="0"/>
          <w:position w:val="0"/>
          <w:sz w:val="24"/>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le milieu professionnel : la tuberculose (BCG), la diphtérie, le tétanos, la poliomyélite, l’hépatite B et la typhoïde.</w:t>
      </w:r>
    </w:p>
    <w:p>
      <w:pPr>
        <w:numPr>
          <w:ilvl w:val="0"/>
          <w:numId w:val="15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Coqueluche</w:t>
      </w:r>
    </w:p>
    <w:p>
      <w:pPr>
        <w:numPr>
          <w:ilvl w:val="0"/>
          <w:numId w:val="15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Oreillons, rougeole, rubéole</w:t>
      </w:r>
    </w:p>
    <w:p>
      <w:pPr>
        <w:numPr>
          <w:ilvl w:val="0"/>
          <w:numId w:val="15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Varicelle</w:t>
      </w:r>
    </w:p>
    <w:p>
      <w:pPr>
        <w:numPr>
          <w:ilvl w:val="0"/>
          <w:numId w:val="15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Hépatite B</w:t>
      </w:r>
    </w:p>
    <w:p>
      <w:pPr>
        <w:numPr>
          <w:ilvl w:val="0"/>
          <w:numId w:val="15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Infections à</w:t>
      </w:r>
      <w:r>
        <w:rPr>
          <w:rFonts w:ascii="Times New Roman" w:hAnsi="Times New Roman" w:cs="Times New Roman" w:eastAsia="Times New Roman"/>
          <w:i/>
          <w:color w:val="000000"/>
          <w:spacing w:val="0"/>
          <w:position w:val="0"/>
          <w:sz w:val="22"/>
          <w:shd w:fill="auto" w:val="clear"/>
        </w:rPr>
        <w:t xml:space="preserve"> Haemophilus influenza</w:t>
      </w:r>
      <w:r>
        <w:rPr>
          <w:rFonts w:ascii="Times New Roman" w:hAnsi="Times New Roman" w:cs="Times New Roman" w:eastAsia="Times New Roman"/>
          <w:color w:val="000000"/>
          <w:spacing w:val="0"/>
          <w:position w:val="0"/>
          <w:sz w:val="22"/>
          <w:shd w:fill="auto" w:val="clear"/>
        </w:rPr>
        <w:t xml:space="preserve"> B </w:t>
      </w:r>
    </w:p>
    <w:p>
      <w:pPr>
        <w:numPr>
          <w:ilvl w:val="0"/>
          <w:numId w:val="15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Infections invasives à méningocoque du sérogroupe C</w:t>
      </w:r>
    </w:p>
    <w:p>
      <w:pPr>
        <w:numPr>
          <w:ilvl w:val="0"/>
          <w:numId w:val="151"/>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Infections à pneumocoque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2F5496"/>
          <w:spacing w:val="0"/>
          <w:position w:val="0"/>
          <w:sz w:val="24"/>
          <w:shd w:fill="auto" w:val="clear"/>
        </w:rPr>
        <w:t xml:space="preserve">Recommandés dans certaines situations</w:t>
      </w:r>
    </w:p>
    <w:p>
      <w:pPr>
        <w:numPr>
          <w:ilvl w:val="0"/>
          <w:numId w:val="15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Grippe saisonnière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p>
    <w:p>
      <w:pPr>
        <w:numPr>
          <w:ilvl w:val="0"/>
          <w:numId w:val="15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object w:dxaOrig="9678" w:dyaOrig="6803">
          <v:rect xmlns:o="urn:schemas-microsoft-com:office:office" xmlns:v="urn:schemas-microsoft-com:vml" id="rectole0000000008" style="width:483.900000pt;height:340.1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numPr>
          <w:ilvl w:val="0"/>
          <w:numId w:val="15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Hépatite A</w:t>
      </w:r>
    </w:p>
    <w:p>
      <w:pPr>
        <w:numPr>
          <w:ilvl w:val="0"/>
          <w:numId w:val="15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Hépatite B</w:t>
      </w:r>
    </w:p>
    <w:p>
      <w:pPr>
        <w:numPr>
          <w:ilvl w:val="0"/>
          <w:numId w:val="155"/>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Infection à papillomavirus humains (HPV)</w:t>
      </w:r>
    </w:p>
    <w:p>
      <w:pPr>
        <w:numPr>
          <w:ilvl w:val="0"/>
          <w:numId w:val="155"/>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Tuberculose (BCG)</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160" w:line="259"/>
        <w:ind w:right="0" w:left="0" w:firstLine="0"/>
        <w:jc w:val="both"/>
        <w:rPr>
          <w:rFonts w:ascii="Times New Roman" w:hAnsi="Times New Roman" w:cs="Times New Roman" w:eastAsia="Times New Roman"/>
          <w:color w:val="000000"/>
          <w:spacing w:val="0"/>
          <w:position w:val="0"/>
          <w:sz w:val="24"/>
          <w:shd w:fill="auto" w:val="clear"/>
        </w:rPr>
      </w:pPr>
      <w:r>
        <w:object w:dxaOrig="11742" w:dyaOrig="8219">
          <v:rect xmlns:o="urn:schemas-microsoft-com:office:office" xmlns:v="urn:schemas-microsoft-com:vml" id="rectole0000000009" style="width:587.100000pt;height:410.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Next w:val="true"/>
        <w:numPr>
          <w:ilvl w:val="0"/>
          <w:numId w:val="158"/>
        </w:numPr>
        <w:spacing w:before="200" w:after="120" w:line="240"/>
        <w:ind w:right="0" w:left="1814" w:firstLine="0"/>
        <w:jc w:val="left"/>
        <w:rPr>
          <w:rFonts w:ascii="Times New Roman" w:hAnsi="Times New Roman" w:cs="Times New Roman" w:eastAsia="Times New Roman"/>
          <w:b/>
          <w:color w:val="002060"/>
          <w:spacing w:val="0"/>
          <w:position w:val="0"/>
          <w:sz w:val="28"/>
          <w:shd w:fill="auto" w:val="clear"/>
        </w:rPr>
      </w:pPr>
      <w:r>
        <w:rPr>
          <w:rFonts w:ascii="Times New Roman" w:hAnsi="Times New Roman" w:cs="Times New Roman" w:eastAsia="Times New Roman"/>
          <w:b/>
          <w:color w:val="2F5496"/>
          <w:spacing w:val="0"/>
          <w:position w:val="0"/>
          <w:sz w:val="28"/>
          <w:shd w:fill="auto" w:val="clear"/>
        </w:rPr>
        <w:t xml:space="preserve">5.3. La stérilisation</w:t>
      </w:r>
    </w:p>
    <w:p>
      <w:pPr>
        <w:keepNext w:val="true"/>
        <w:numPr>
          <w:ilvl w:val="0"/>
          <w:numId w:val="158"/>
        </w:numPr>
        <w:spacing w:before="140" w:after="120" w:line="240"/>
        <w:ind w:right="0" w:left="2268" w:firstLine="0"/>
        <w:jc w:val="left"/>
        <w:rPr>
          <w:rFonts w:ascii="Times New Roman" w:hAnsi="Times New Roman" w:cs="Times New Roman" w:eastAsia="Times New Roman"/>
          <w:b/>
          <w:color w:val="A84A9D"/>
          <w:spacing w:val="0"/>
          <w:position w:val="0"/>
          <w:sz w:val="26"/>
          <w:shd w:fill="auto" w:val="clear"/>
        </w:rPr>
      </w:pPr>
      <w:r>
        <w:rPr>
          <w:rFonts w:ascii="Times New Roman" w:hAnsi="Times New Roman" w:cs="Times New Roman" w:eastAsia="Times New Roman"/>
          <w:color w:val="2F5496"/>
          <w:spacing w:val="0"/>
          <w:position w:val="0"/>
          <w:sz w:val="24"/>
          <w:shd w:fill="auto" w:val="clear"/>
        </w:rPr>
        <w:t xml:space="preserve">5.3.1. Définition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stérilisation est une technique permettant d’éliminer les germes présents sur des dispositifs ou du matériel médicaux.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C’est un procédé en plusieurs étapes à suivre minutieusement.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matériel est tout d’abord prédésinfecté, rincé et séché. Il est ensuite placé dans un stérilisateur (le plus souvent à la vapeur d’eau pour le matériel médical) pour un cycle de 18 minutes environ au cours duquel la température maximale atteindra les 134 °C.</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61"/>
        </w:numPr>
        <w:spacing w:before="140" w:after="120" w:line="240"/>
        <w:ind w:right="0" w:left="2268" w:firstLine="0"/>
        <w:jc w:val="left"/>
        <w:rPr>
          <w:rFonts w:ascii="Times New Roman" w:hAnsi="Times New Roman" w:cs="Times New Roman" w:eastAsia="Times New Roman"/>
          <w:b/>
          <w:color w:val="A84A9D"/>
          <w:spacing w:val="0"/>
          <w:position w:val="0"/>
          <w:sz w:val="26"/>
          <w:shd w:fill="auto" w:val="clear"/>
        </w:rPr>
      </w:pPr>
      <w:r>
        <w:rPr>
          <w:rFonts w:ascii="Times New Roman" w:hAnsi="Times New Roman" w:cs="Times New Roman" w:eastAsia="Times New Roman"/>
          <w:color w:val="2F5496"/>
          <w:spacing w:val="0"/>
          <w:position w:val="0"/>
          <w:sz w:val="24"/>
          <w:shd w:fill="auto" w:val="clear"/>
        </w:rPr>
        <w:t xml:space="preserve">5.3.2. En pratique</w:t>
      </w:r>
    </w:p>
    <w:p>
      <w:pPr>
        <w:numPr>
          <w:ilvl w:val="0"/>
          <w:numId w:val="16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Phase de prédésinfection : le matériel souillé est plongé dans un bac rempli de détergent-désinfectant durant 15 minutes puis brossé et rincé à l’eau courante.</w:t>
      </w:r>
    </w:p>
    <w:p>
      <w:pPr>
        <w:numPr>
          <w:ilvl w:val="0"/>
          <w:numId w:val="16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matériel est ensuite rigoureusement séché.</w:t>
      </w:r>
    </w:p>
    <w:p>
      <w:pPr>
        <w:numPr>
          <w:ilvl w:val="0"/>
          <w:numId w:val="16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matériel thermorésistant est ensuite stérilisé de préférence dans un stérilisateur à vapeur d’eau.</w:t>
      </w:r>
    </w:p>
    <w:p>
      <w:pPr>
        <w:numPr>
          <w:ilvl w:val="0"/>
          <w:numId w:val="16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Une fois le cycle terminé, les manipulations de ces objets se font à l’aide de gants stériles pour ne pas les souiller.</w:t>
      </w:r>
    </w:p>
    <w:p>
      <w:pPr>
        <w:numPr>
          <w:ilvl w:val="0"/>
          <w:numId w:val="16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matériel est placé dans un emballage stérile.</w:t>
      </w:r>
    </w:p>
    <w:p>
      <w:pPr>
        <w:spacing w:before="0" w:after="0" w:line="276"/>
        <w:ind w:right="0" w:left="0" w:firstLine="0"/>
        <w:jc w:val="both"/>
        <w:rPr>
          <w:rFonts w:ascii="Times New Roman" w:hAnsi="Times New Roman" w:cs="Times New Roman" w:eastAsia="Times New Roman"/>
          <w:color w:val="002060"/>
          <w:spacing w:val="0"/>
          <w:position w:val="0"/>
          <w:sz w:val="24"/>
          <w:shd w:fill="auto" w:val="clear"/>
        </w:rPr>
      </w:pPr>
    </w:p>
    <w:p>
      <w:pPr>
        <w:keepNext w:val="true"/>
        <w:numPr>
          <w:ilvl w:val="0"/>
          <w:numId w:val="164"/>
        </w:numPr>
        <w:spacing w:before="200" w:after="120" w:line="240"/>
        <w:ind w:right="0" w:left="1814" w:firstLine="0"/>
        <w:jc w:val="left"/>
        <w:rPr>
          <w:rFonts w:ascii="Times New Roman" w:hAnsi="Times New Roman" w:cs="Times New Roman" w:eastAsia="Times New Roman"/>
          <w:b/>
          <w:color w:val="002060"/>
          <w:spacing w:val="0"/>
          <w:position w:val="0"/>
          <w:sz w:val="24"/>
          <w:shd w:fill="auto" w:val="clear"/>
        </w:rPr>
      </w:pPr>
      <w:r>
        <w:rPr>
          <w:rFonts w:ascii="Times New Roman" w:hAnsi="Times New Roman" w:cs="Times New Roman" w:eastAsia="Times New Roman"/>
          <w:b/>
          <w:color w:val="2F5496"/>
          <w:spacing w:val="0"/>
          <w:position w:val="0"/>
          <w:sz w:val="28"/>
          <w:shd w:fill="auto" w:val="clear"/>
        </w:rPr>
        <w:t xml:space="preserve">5.4. Le tri des déchets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gestion des déchets d’activités de soins est obligatoire</w:t>
      </w:r>
      <w:r>
        <w:rPr>
          <w:rFonts w:ascii="Times New Roman" w:hAnsi="Times New Roman" w:cs="Times New Roman" w:eastAsia="Times New Roman"/>
          <w:color w:val="000000"/>
          <w:spacing w:val="0"/>
          <w:position w:val="0"/>
          <w:sz w:val="22"/>
          <w:shd w:fill="auto" w:val="clear"/>
        </w:rPr>
        <w:t xml:space="preserve">. Pour cela, des emballages spécifiques ont été mis en place.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déchets d’activités de soins à risque infectieux (Dasri) sont regroupés dans des sacs-poubelle ou des cartons de couleur jaune. Des collecteurs d’objets coupants, tranchants et piquants doivent être à disposition du personnel du cabinet. Ces collecteurs doivent être remplacés quand </w:t>
      </w:r>
      <w:r>
        <w:rPr>
          <w:rFonts w:ascii="Times New Roman" w:hAnsi="Times New Roman" w:cs="Times New Roman" w:eastAsia="Times New Roman"/>
          <w:color w:val="auto"/>
          <w:spacing w:val="0"/>
          <w:position w:val="0"/>
          <w:sz w:val="22"/>
          <w:shd w:fill="auto" w:val="clear"/>
        </w:rPr>
        <w:t xml:space="preserve">ils sont</w:t>
      </w:r>
      <w:r>
        <w:rPr>
          <w:rFonts w:ascii="Times New Roman" w:hAnsi="Times New Roman" w:cs="Times New Roman" w:eastAsia="Times New Roman"/>
          <w:color w:val="000000"/>
          <w:spacing w:val="0"/>
          <w:position w:val="0"/>
          <w:sz w:val="22"/>
          <w:shd w:fill="auto" w:val="clear"/>
        </w:rPr>
        <w:t xml:space="preserve"> remplis aux trois quarts pour éviter que la personne refermant la boîte ne se blesse où ne puisse plus la refermer.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déchets qui ne présentent pas de risque infectieux sont évacués par le circuit normal des déchets. Communément, un sac-poubelle de couleur noire est utilisé.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66"/>
        </w:numPr>
        <w:spacing w:before="200" w:after="120" w:line="240"/>
        <w:ind w:right="0" w:left="1814"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2F5496"/>
          <w:spacing w:val="0"/>
          <w:position w:val="0"/>
          <w:sz w:val="28"/>
          <w:shd w:fill="auto" w:val="clear"/>
        </w:rPr>
        <w:t xml:space="preserve">5.5. Administratif </w:t>
      </w:r>
      <w:r>
        <w:rPr>
          <w:rFonts w:ascii="Times New Roman" w:hAnsi="Times New Roman" w:cs="Times New Roman" w:eastAsia="Times New Roman"/>
          <w:b/>
          <w:color w:val="2F5496"/>
          <w:spacing w:val="0"/>
          <w:position w:val="0"/>
          <w:sz w:val="28"/>
          <w:shd w:fill="auto" w:val="clear"/>
        </w:rPr>
        <w:t xml:space="preserve">–</w:t>
      </w:r>
      <w:r>
        <w:rPr>
          <w:rFonts w:ascii="Times New Roman" w:hAnsi="Times New Roman" w:cs="Times New Roman" w:eastAsia="Times New Roman"/>
          <w:b/>
          <w:color w:val="2F5496"/>
          <w:spacing w:val="0"/>
          <w:position w:val="0"/>
          <w:sz w:val="28"/>
          <w:shd w:fill="auto" w:val="clear"/>
        </w:rPr>
        <w:t xml:space="preserve"> Juridique</w:t>
      </w:r>
    </w:p>
    <w:p>
      <w:pPr>
        <w:keepNext w:val="true"/>
        <w:numPr>
          <w:ilvl w:val="0"/>
          <w:numId w:val="166"/>
        </w:numPr>
        <w:spacing w:before="140" w:after="120" w:line="240"/>
        <w:ind w:right="0" w:left="2268" w:firstLine="0"/>
        <w:jc w:val="left"/>
        <w:rPr>
          <w:rFonts w:ascii="Times New Roman" w:hAnsi="Times New Roman" w:cs="Times New Roman" w:eastAsia="Times New Roman"/>
          <w:b/>
          <w:color w:val="A84A9D"/>
          <w:spacing w:val="0"/>
          <w:position w:val="0"/>
          <w:sz w:val="26"/>
          <w:shd w:fill="auto" w:val="clear"/>
        </w:rPr>
      </w:pPr>
      <w:r>
        <w:rPr>
          <w:rFonts w:ascii="Times New Roman" w:hAnsi="Times New Roman" w:cs="Times New Roman" w:eastAsia="Times New Roman"/>
          <w:color w:val="2F5496"/>
          <w:spacing w:val="0"/>
          <w:position w:val="0"/>
          <w:sz w:val="24"/>
          <w:shd w:fill="auto" w:val="clear"/>
        </w:rPr>
        <w:t xml:space="preserve">5.5.1. Le secret professionnel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secret professionnel </w:t>
      </w:r>
      <w:r>
        <w:rPr>
          <w:rFonts w:ascii="Times New Roman" w:hAnsi="Times New Roman" w:cs="Times New Roman" w:eastAsia="Times New Roman"/>
          <w:color w:val="000000"/>
          <w:spacing w:val="0"/>
          <w:position w:val="0"/>
          <w:sz w:val="22"/>
          <w:shd w:fill="auto" w:val="clear"/>
        </w:rPr>
        <w:t xml:space="preserve">consiste à ne pas divulguer d’informations obtenues ou déduites durant la prise en charge d’un patient. Tous les professionnels de santé ont l’obligation de le respecter.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Article L1110-4 du Code de la santé publique :</w:t>
      </w:r>
    </w:p>
    <w:p>
      <w:pPr>
        <w:spacing w:before="0" w:after="0" w:line="276"/>
        <w:ind w:right="0" w:left="0" w:firstLine="0"/>
        <w:jc w:val="both"/>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 Toute personne prise en charge par un professionnel, un établissement, un réseau de santé ou tout autre organisme participant à la prévention et aux soins a droit au respect de sa vie privée et du secret des informations la concernant.</w:t>
      </w:r>
    </w:p>
    <w:p>
      <w:pPr>
        <w:spacing w:before="0" w:after="0" w:line="276"/>
        <w:ind w:right="0" w:left="0" w:firstLine="0"/>
        <w:jc w:val="both"/>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Excepté dans les cas de dérogation, expressément prévus par la loi, ce secret couvre l’ensemble des informations concernant la personne venues à la connaissance du professionnel de santé, de tout membre du personnel de ces établissements ou organismes et de toute autre personne en relation, de par ses activités, avec ces établissements ou organismes. Il s’impose à tout professionnel de santé, ainsi qu’à tous les professionnels intervenant dans le système de santé […] »</w:t>
      </w:r>
    </w:p>
    <w:p>
      <w:pPr>
        <w:spacing w:before="0" w:after="0" w:line="276"/>
        <w:ind w:right="0" w:left="0" w:firstLine="0"/>
        <w:jc w:val="both"/>
        <w:rPr>
          <w:rFonts w:ascii="Times New Roman" w:hAnsi="Times New Roman" w:cs="Times New Roman" w:eastAsia="Times New Roman"/>
          <w:color w:val="000000"/>
          <w:spacing w:val="0"/>
          <w:position w:val="0"/>
          <w:sz w:val="8"/>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Des dérogations existent en cas de maltraitance, d’agressions sexuelles de personnes vulnérables, d’accidents de travail, de maladies professionnelles, de naissance, de décès et de maladies à déclaration obligatoire (tuberculose, VIH…)</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69"/>
        </w:numPr>
        <w:spacing w:before="140" w:after="120" w:line="240"/>
        <w:ind w:right="0" w:left="2268" w:firstLine="0"/>
        <w:jc w:val="left"/>
        <w:rPr>
          <w:rFonts w:ascii="Times New Roman" w:hAnsi="Times New Roman" w:cs="Times New Roman" w:eastAsia="Times New Roman"/>
          <w:b/>
          <w:color w:val="A84A9D"/>
          <w:spacing w:val="0"/>
          <w:position w:val="0"/>
          <w:sz w:val="26"/>
          <w:shd w:fill="auto" w:val="clear"/>
        </w:rPr>
      </w:pPr>
      <w:r>
        <w:rPr>
          <w:rFonts w:ascii="Times New Roman" w:hAnsi="Times New Roman" w:cs="Times New Roman" w:eastAsia="Times New Roman"/>
          <w:color w:val="2F5496"/>
          <w:spacing w:val="0"/>
          <w:position w:val="0"/>
          <w:sz w:val="24"/>
          <w:shd w:fill="auto" w:val="clear"/>
        </w:rPr>
        <w:t xml:space="preserve">5.5.2. Les certificats médicaux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 L’exercice de la médecine comporte normalement l’établissement par le médecin, conformément aux constatations médicales qu’il est en mesure de faire, des certificats, attestations et documents dont la production est prescrite par les textes législatifs et réglementaires. » Art. 76, 1</w:t>
      </w:r>
      <w:r>
        <w:rPr>
          <w:rFonts w:ascii="Times New Roman" w:hAnsi="Times New Roman" w:cs="Times New Roman" w:eastAsia="Times New Roman"/>
          <w:color w:val="000000"/>
          <w:spacing w:val="0"/>
          <w:position w:val="0"/>
          <w:sz w:val="22"/>
          <w:shd w:fill="auto" w:val="clear"/>
          <w:vertAlign w:val="superscript"/>
        </w:rPr>
        <w:t xml:space="preserve">er</w:t>
      </w:r>
      <w:r>
        <w:rPr>
          <w:rFonts w:ascii="Times New Roman" w:hAnsi="Times New Roman" w:cs="Times New Roman" w:eastAsia="Times New Roman"/>
          <w:color w:val="000000"/>
          <w:spacing w:val="0"/>
          <w:position w:val="0"/>
          <w:sz w:val="22"/>
          <w:shd w:fill="auto" w:val="clear"/>
        </w:rPr>
        <w:t xml:space="preserve"> alinéa du Code de déontologie médicale.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71"/>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5.5.2.1. Obligatoires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Sont obligatoires pour le médecin la rédaction de certificats, attestations et constatations de : </w:t>
      </w:r>
    </w:p>
    <w:p>
      <w:pPr>
        <w:numPr>
          <w:ilvl w:val="0"/>
          <w:numId w:val="17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décès ;</w:t>
      </w:r>
    </w:p>
    <w:p>
      <w:pPr>
        <w:numPr>
          <w:ilvl w:val="0"/>
          <w:numId w:val="17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handicap ;</w:t>
      </w:r>
    </w:p>
    <w:p>
      <w:pPr>
        <w:numPr>
          <w:ilvl w:val="0"/>
          <w:numId w:val="17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maladie contagieuse ;</w:t>
      </w:r>
    </w:p>
    <w:p>
      <w:pPr>
        <w:numPr>
          <w:ilvl w:val="0"/>
          <w:numId w:val="173"/>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lésions et traumatismes</w:t>
      </w:r>
      <w:r>
        <w:rPr>
          <w:rFonts w:ascii="Times New Roman" w:hAnsi="Times New Roman" w:cs="Times New Roman" w:eastAsia="Times New Roman"/>
          <w:color w:val="000000"/>
          <w:spacing w:val="0"/>
          <w:position w:val="0"/>
          <w:sz w:val="24"/>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principe, le médecin établit le certificat médical et doit le délivrer en mains propres à la personne concernée, sauf dans deux cas précis : le décès, pour lequel les documents sont remis à la famille, et les certificats concernant les enfants, qui sont remis à leurs parents.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75"/>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5.5.2.2. Non obligatoires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dehors d’un </w:t>
      </w:r>
      <w:r>
        <w:rPr>
          <w:rFonts w:ascii="Times New Roman" w:hAnsi="Times New Roman" w:cs="Times New Roman" w:eastAsia="Times New Roman"/>
          <w:color w:val="auto"/>
          <w:spacing w:val="0"/>
          <w:position w:val="0"/>
          <w:sz w:val="22"/>
          <w:shd w:fill="auto" w:val="clear"/>
        </w:rPr>
        <w:t xml:space="preserve">texte</w:t>
      </w:r>
      <w:r>
        <w:rPr>
          <w:rFonts w:ascii="Times New Roman" w:hAnsi="Times New Roman" w:cs="Times New Roman" w:eastAsia="Times New Roman"/>
          <w:color w:val="000000"/>
          <w:spacing w:val="0"/>
          <w:position w:val="0"/>
          <w:sz w:val="22"/>
          <w:shd w:fill="auto" w:val="clear"/>
        </w:rPr>
        <w:t xml:space="preserve"> législatif l’exigeant, le certificat médical n’est pas obligatoire. Beaucoup sont exigés par des structures mais ne sont pas nécessaires.</w:t>
      </w:r>
    </w:p>
    <w:p>
      <w:pPr>
        <w:spacing w:before="0" w:after="160" w:line="259"/>
        <w:ind w:right="0" w:left="0" w:firstLine="0"/>
        <w:jc w:val="both"/>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000000"/>
          <w:spacing w:val="0"/>
          <w:position w:val="0"/>
          <w:sz w:val="24"/>
          <w:shd w:fill="auto" w:val="clear"/>
        </w:rPr>
      </w:pPr>
      <w:r>
        <w:object w:dxaOrig="9881" w:dyaOrig="12452">
          <v:rect xmlns:o="urn:schemas-microsoft-com:office:office" xmlns:v="urn:schemas-microsoft-com:vml" id="rectole0000000010" style="width:494.050000pt;height:622.6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160" w:line="259"/>
        <w:ind w:right="0" w:left="0" w:firstLine="0"/>
        <w:jc w:val="both"/>
        <w:rPr>
          <w:rFonts w:ascii="Times New Roman" w:hAnsi="Times New Roman" w:cs="Times New Roman" w:eastAsia="Times New Roman"/>
          <w:color w:val="000000"/>
          <w:spacing w:val="0"/>
          <w:position w:val="0"/>
          <w:sz w:val="24"/>
          <w:shd w:fill="auto" w:val="clear"/>
        </w:rPr>
      </w:pPr>
      <w:r>
        <w:object w:dxaOrig="10022" w:dyaOrig="12492">
          <v:rect xmlns:o="urn:schemas-microsoft-com:office:office" xmlns:v="urn:schemas-microsoft-com:vml" id="rectole0000000011" style="width:501.100000pt;height:624.6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160" w:line="259"/>
        <w:ind w:right="0" w:left="0" w:firstLine="0"/>
        <w:jc w:val="both"/>
        <w:rPr>
          <w:rFonts w:ascii="Times New Roman" w:hAnsi="Times New Roman" w:cs="Times New Roman" w:eastAsia="Times New Roman"/>
          <w:color w:val="000000"/>
          <w:spacing w:val="0"/>
          <w:position w:val="0"/>
          <w:sz w:val="24"/>
          <w:shd w:fill="auto" w:val="clear"/>
        </w:rPr>
      </w:pPr>
      <w:r>
        <w:object w:dxaOrig="9739" w:dyaOrig="12107">
          <v:rect xmlns:o="urn:schemas-microsoft-com:office:office" xmlns:v="urn:schemas-microsoft-com:vml" id="rectole0000000012" style="width:486.950000pt;height:605.3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160" w:line="259"/>
        <w:ind w:right="0" w:left="0" w:firstLine="0"/>
        <w:jc w:val="both"/>
        <w:rPr>
          <w:rFonts w:ascii="Times New Roman" w:hAnsi="Times New Roman" w:cs="Times New Roman" w:eastAsia="Times New Roman"/>
          <w:color w:val="000000"/>
          <w:spacing w:val="0"/>
          <w:position w:val="0"/>
          <w:sz w:val="22"/>
          <w:shd w:fill="auto" w:val="clear"/>
        </w:rPr>
      </w:pPr>
      <w:r>
        <w:object w:dxaOrig="10204" w:dyaOrig="12452">
          <v:rect xmlns:o="urn:schemas-microsoft-com:office:office" xmlns:v="urn:schemas-microsoft-com:vml" id="rectole0000000013" style="width:510.200000pt;height:622.6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hyperlink xmlns:r="http://schemas.openxmlformats.org/officeDocument/2006/relationships" r:id="docRId28">
        <w:r>
          <w:rPr>
            <w:rFonts w:ascii="Times New Roman" w:hAnsi="Times New Roman" w:cs="Times New Roman" w:eastAsia="Times New Roman"/>
            <w:color w:val="0000FF"/>
            <w:spacing w:val="0"/>
            <w:position w:val="0"/>
            <w:sz w:val="22"/>
            <w:u w:val="single"/>
            <w:shd w:fill="auto" w:val="clear"/>
          </w:rPr>
          <w:t xml:space="preserve">http://www.sante.gouv.fr/IMG/pdf/331_annexe_certifs_medicaux.pdf</w:t>
        </w:r>
      </w:hyperlink>
    </w:p>
    <w:p>
      <w:pPr>
        <w:spacing w:before="0" w:after="160" w:line="259"/>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80"/>
        </w:numPr>
        <w:spacing w:before="140" w:after="120" w:line="240"/>
        <w:ind w:right="0" w:left="2268" w:firstLine="0"/>
        <w:jc w:val="left"/>
        <w:rPr>
          <w:rFonts w:ascii="Times New Roman" w:hAnsi="Times New Roman" w:cs="Times New Roman" w:eastAsia="Times New Roman"/>
          <w:b/>
          <w:color w:val="A84A9D"/>
          <w:spacing w:val="0"/>
          <w:position w:val="0"/>
          <w:sz w:val="26"/>
          <w:shd w:fill="auto" w:val="clear"/>
        </w:rPr>
      </w:pPr>
      <w:r>
        <w:rPr>
          <w:rFonts w:ascii="Times New Roman" w:hAnsi="Times New Roman" w:cs="Times New Roman" w:eastAsia="Times New Roman"/>
          <w:color w:val="2F5496"/>
          <w:spacing w:val="0"/>
          <w:position w:val="0"/>
          <w:sz w:val="24"/>
          <w:shd w:fill="auto" w:val="clear"/>
        </w:rPr>
        <w:t xml:space="preserve">5.5.3. Documents divers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Tous les documents médico-administratifs doivent être remplis par le médecin en personne </w:t>
      </w:r>
      <w:r>
        <w:rPr>
          <w:rFonts w:ascii="Times New Roman" w:hAnsi="Times New Roman" w:cs="Times New Roman" w:eastAsia="Times New Roman"/>
          <w:color w:val="000000"/>
          <w:spacing w:val="0"/>
          <w:position w:val="0"/>
          <w:sz w:val="22"/>
          <w:shd w:fill="auto" w:val="clear"/>
        </w:rPr>
        <w:t xml:space="preserve">car ils engagent sa responsabilité.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82"/>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5.5.3.1. Arrêt de travail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L’arrêt de travail est un document à 3 volets remplis par le médecin et dispensant la personne de l’exercice de ses fonctions pour une durée déterminée qui peut être renouvelée.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médecin remplit l’arrêt de travail </w:t>
      </w:r>
      <w:r>
        <w:rPr>
          <w:rFonts w:ascii="Times New Roman" w:hAnsi="Times New Roman" w:cs="Times New Roman" w:eastAsia="Times New Roman"/>
          <w:color w:val="000000"/>
          <w:spacing w:val="0"/>
          <w:position w:val="0"/>
          <w:sz w:val="22"/>
          <w:shd w:fill="auto" w:val="clear"/>
        </w:rPr>
        <w:t xml:space="preserve">mais le patient doit le compléter et envoyer dans les 48 heures les volets 1 et 2 à sa caisse d’assurance maladie. Le volet 3 doit être remis à l’employeur.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Nouveauté : le médecin peut proposer de télétransmettre les volets 1 et 2 par le biais de la carte Vitale du patient à sa caisse d’assurance maladie. Il ne reste plus qu’à envoyer le volet 3 à l’employeur.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Sur le volet 1, destiné au médecin-conseil de la caisse d’assurance maladie, le médecin est tenu de renseigner le motif de l’arrêt de travail. Ce diagnostic médical n’apparaît pas sur le volet 2 destiné aux services administratifs de la caisse d’assurance maladie, ni sur le volet 3 destiné à l’employeur.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Dans ce document, le médecin fixe des horaires de sortie que le patient se doit de respecter. Des contrôles peuvent être réalisés par la caisse d’assurance maladie.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84"/>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5.5.3.2. Bons de transports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Les bons de transport sont remplis par le médecin </w:t>
      </w:r>
      <w:r>
        <w:rPr>
          <w:rFonts w:ascii="Times New Roman" w:hAnsi="Times New Roman" w:cs="Times New Roman" w:eastAsia="Times New Roman"/>
          <w:color w:val="000000"/>
          <w:spacing w:val="0"/>
          <w:position w:val="0"/>
          <w:sz w:val="22"/>
          <w:shd w:fill="auto" w:val="clear"/>
        </w:rPr>
        <w:t xml:space="preserve">et permettent un remboursement des frais de transport (taxi, VSL, ambulance) par l’Assurance maladie. Cependant, des conditions bien précises ont été établies :</w:t>
      </w:r>
    </w:p>
    <w:p>
      <w:pPr>
        <w:numPr>
          <w:ilvl w:val="0"/>
          <w:numId w:val="18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transports liés à une hospitalisation ;</w:t>
      </w:r>
    </w:p>
    <w:p>
      <w:pPr>
        <w:numPr>
          <w:ilvl w:val="0"/>
          <w:numId w:val="18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transports pour examens, contrôles et traitements en lien avec une affection de longue durée (ALD) ;</w:t>
      </w:r>
    </w:p>
    <w:p>
      <w:pPr>
        <w:numPr>
          <w:ilvl w:val="0"/>
          <w:numId w:val="18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transports pour examens, contrôles et traitements en lien avec une maladie professionnelle ou un accident de travail ;</w:t>
      </w:r>
    </w:p>
    <w:p>
      <w:pPr>
        <w:numPr>
          <w:ilvl w:val="0"/>
          <w:numId w:val="18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transports en ambulance ;</w:t>
      </w:r>
    </w:p>
    <w:p>
      <w:pPr>
        <w:numPr>
          <w:ilvl w:val="0"/>
          <w:numId w:val="18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transports de longue distance (plus de 150 kilomètres) ou en série (plus de 4 d’au moins 50 kilomètres en 2 mois) ;</w:t>
      </w:r>
    </w:p>
    <w:p>
      <w:pPr>
        <w:numPr>
          <w:ilvl w:val="0"/>
          <w:numId w:val="186"/>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transports liés aux soins des enfants dans un centre médico-psycho-pédagogique (CMPP) et dans les centres d’action médico-sociale précoce (CAMSP).</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88"/>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5.5.3.3. Protocole de soins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formulaire de protocole de soins est à remplir par le médecin traitant lorsque le patient nécessite des soins continus ou un arrêt de travail de plus de 6 mois dans le cadre d’une affection de longue durée (ALD).</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Avec tous les renseignements cliniques et biologiques, le médecin traitant expose le projet thérapeutique pour le patient. Celui-ci doit-être validé par le médecin-conseil de l’Assurance maladie.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Après cela, le patient se rend à tous ses examens, consultations, séances de rééducation, etc. en présentant ce feuillet, qui lui permet d’obtenir un remboursement parfois plus avantageux, voire à 100 %.</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90"/>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5.5.3.4. Demande d’entente préalable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L’entente préalable permet d’obtenir le remboursement futur des soins par l’Assurance maladie</w:t>
      </w:r>
      <w:r>
        <w:rPr>
          <w:rFonts w:ascii="Times New Roman" w:hAnsi="Times New Roman" w:cs="Times New Roman" w:eastAsia="Times New Roman"/>
          <w:color w:val="000000"/>
          <w:spacing w:val="0"/>
          <w:position w:val="0"/>
          <w:sz w:val="22"/>
          <w:shd w:fill="auto" w:val="clear"/>
        </w:rPr>
        <w:t xml:space="preserve">. En effet, par le biais d’un formulaire, le patient et le médecin traitant font la demande de prise en charge de soins médicaux spécifiques (transport longue distance, soins de rééducation, certains soins dentaires). Le médecin-conseil de l’Assurance maladie envoie par la suite l’accord préalable pour les soins demandés.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 ce fait, le patient sait en avance qu’il sera pris en charge par l’Assurance maladie pour ses soins médicaux ou son transport.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92"/>
        </w:numPr>
        <w:spacing w:before="140" w:after="120" w:line="240"/>
        <w:ind w:right="0" w:left="2268" w:firstLine="0"/>
        <w:jc w:val="left"/>
        <w:rPr>
          <w:rFonts w:ascii="Times New Roman" w:hAnsi="Times New Roman" w:cs="Times New Roman" w:eastAsia="Times New Roman"/>
          <w:b/>
          <w:color w:val="A84A9D"/>
          <w:spacing w:val="0"/>
          <w:position w:val="0"/>
          <w:sz w:val="26"/>
          <w:shd w:fill="auto" w:val="clear"/>
        </w:rPr>
      </w:pPr>
      <w:r>
        <w:rPr>
          <w:rFonts w:ascii="Times New Roman" w:hAnsi="Times New Roman" w:cs="Times New Roman" w:eastAsia="Times New Roman"/>
          <w:color w:val="2F5496"/>
          <w:spacing w:val="0"/>
          <w:position w:val="0"/>
          <w:sz w:val="24"/>
          <w:shd w:fill="auto" w:val="clear"/>
        </w:rPr>
        <w:t xml:space="preserve">5.5.4. Le choix du médecin traitant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patient choisit son médecin traitant. </w:t>
      </w:r>
      <w:r>
        <w:rPr>
          <w:rFonts w:ascii="Times New Roman" w:hAnsi="Times New Roman" w:cs="Times New Roman" w:eastAsia="Times New Roman"/>
          <w:color w:val="000000"/>
          <w:spacing w:val="0"/>
          <w:position w:val="0"/>
          <w:sz w:val="22"/>
          <w:shd w:fill="auto" w:val="clear"/>
        </w:rPr>
        <w:t xml:space="preserve">Cela peut être un médecin généraliste ou un médecin spécialiste. Le patient est libre de changer de médecin traitant quand il le souhaite.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médecin traitant coordonne le parcours de soins de son patient, centralise les résultats d’examens, les avis et les compte-rendu de médecins spécialistes auxquels il avait adressé son patient. Cette démarche s’inscrit dans la prise en charge globale du patient.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Depuis la loi de réforme de l’Assurance maladie en 2004, la consultation avec un médecin spécialiste n’est pas totalement remboursée si le patient ne respecte pas le parcours de soins coordonné par son médecin traitant. Cela a pour but d’éviter des consultations multiples avec différents spécialistes qui peuvent ne pas avoir de rapport avec l’affection dont souffre le patient où être réalisés dans le seul but de recueillir différents avis : c’est le « nomadisme médical ».</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94"/>
        </w:numPr>
        <w:spacing w:before="140" w:after="120" w:line="240"/>
        <w:ind w:right="0" w:left="2268" w:firstLine="0"/>
        <w:jc w:val="left"/>
        <w:rPr>
          <w:rFonts w:ascii="Times New Roman" w:hAnsi="Times New Roman" w:cs="Times New Roman" w:eastAsia="Times New Roman"/>
          <w:b/>
          <w:color w:val="A84A9D"/>
          <w:spacing w:val="0"/>
          <w:position w:val="0"/>
          <w:sz w:val="26"/>
          <w:shd w:fill="auto" w:val="clear"/>
        </w:rPr>
      </w:pPr>
      <w:r>
        <w:rPr>
          <w:rFonts w:ascii="Times New Roman" w:hAnsi="Times New Roman" w:cs="Times New Roman" w:eastAsia="Times New Roman"/>
          <w:color w:val="2F5496"/>
          <w:spacing w:val="0"/>
          <w:position w:val="0"/>
          <w:sz w:val="24"/>
          <w:shd w:fill="auto" w:val="clear"/>
        </w:rPr>
        <w:t xml:space="preserve">5.5.5. Protocole de campagne nationale en médecine générale</w:t>
      </w:r>
    </w:p>
    <w:p>
      <w:pPr>
        <w:keepNext w:val="true"/>
        <w:numPr>
          <w:ilvl w:val="0"/>
          <w:numId w:val="194"/>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5.5.5.1. PMSI</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PMSI, ou programme de médicalisation des systèmes d’information</w:t>
      </w:r>
      <w:r>
        <w:rPr>
          <w:rFonts w:ascii="Times New Roman" w:hAnsi="Times New Roman" w:cs="Times New Roman" w:eastAsia="Times New Roman"/>
          <w:color w:val="000000"/>
          <w:spacing w:val="0"/>
          <w:position w:val="0"/>
          <w:sz w:val="22"/>
          <w:shd w:fill="auto" w:val="clear"/>
        </w:rPr>
        <w:t xml:space="preserve">, est un dispositif qui fait partie de la réforme du système de santé.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a pour but de réduire les inégalités de ressources entre les établissements de santé.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mesurer l’activité et les ressources des établissements, il est nécessaire de disposer d’informations quantifiées et standardisées, le PMSI.</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assiste ainsi à un retour à un système de gestion indispensable dans les établissements (publics ou privés), notamment avec la mise en place de la tarification à l’activité (T2A).</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Importé des États-Unis, le projet PMSI est arrivé en France en 1982 dans le but de définir l’activité des établissements et de calculer l’allocation budgétaire qui en découle. Il avait toutefois plus un objectif de santé publique et épidémiologique que financier.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est entré en vigueur dès 2005, avec la mise en place de la T2A, qui permet un nouveau système de rémunération des hôpitaux, basé sur leur activité selon un classement des données par groupes de séjours présentant une similitude médicale et un coût voisin.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PMSI est utilisé dans plusieurs secteurs, avec des modes de recueil différents selon les catégories : MCO (médecine, chirurgie, obstétrique), SSR (soins de suite et réadaptation), HAD (hospitalisation à domicile), ainsi que psychiatrie. </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PMSI est également un outil de planification puisqu’il constitue une source inestimable de renseignements permettant de mieux répartir l’activité médicale et les plateaux techniques sur le territoire en fonction des besoins quantifiés de la population. Les données qu’il comporte peuvent aussi être utilisées dans un but d’études épidémiologiques, que ce soit à l’échelle nationale, régionale ou locale. S’agissant de la gestion interne des établissements, le PMSI permet de disposer de données sur l’activité de chacun des pôles, de manière à aboutir à une collaboration efficace entre les services de gestion, les services financiers et les services DIM (direction de l’information médicalisée).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97"/>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5.5.5.2. Le codage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C’est une activité essentielle permettant </w:t>
      </w:r>
      <w:r>
        <w:rPr>
          <w:rFonts w:ascii="Times New Roman" w:hAnsi="Times New Roman" w:cs="Times New Roman" w:eastAsia="Times New Roman"/>
          <w:b/>
          <w:color w:val="000000"/>
          <w:spacing w:val="0"/>
          <w:position w:val="0"/>
          <w:sz w:val="22"/>
          <w:shd w:fill="auto" w:val="clear"/>
        </w:rPr>
        <w:t xml:space="preserve">la mesure de l’activité d’un établissement.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responsabilité du codage est portée par les cliniciens, qui sont tenus de fournir l’information médicale. La moindre erreur (oubli de codes, usage de codes approximatifs, non-respect des règles de codage…) peut entraîner un changement du GHM (groupe homogène de malades), et donc fausser la facturation.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199"/>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5.5.5.3. La RUM</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Guide de bonnes pratiques pour la constitution de la </w:t>
      </w:r>
      <w:r>
        <w:rPr>
          <w:rFonts w:ascii="Times New Roman" w:hAnsi="Times New Roman" w:cs="Times New Roman" w:eastAsia="Times New Roman"/>
          <w:b/>
          <w:color w:val="000000"/>
          <w:spacing w:val="0"/>
          <w:position w:val="0"/>
          <w:sz w:val="22"/>
          <w:shd w:fill="auto" w:val="clear"/>
        </w:rPr>
        <w:t xml:space="preserve">référence unique de mandat </w:t>
      </w:r>
      <w:r>
        <w:rPr>
          <w:rFonts w:ascii="Times New Roman" w:hAnsi="Times New Roman" w:cs="Times New Roman" w:eastAsia="Times New Roman"/>
          <w:color w:val="000000"/>
          <w:spacing w:val="0"/>
          <w:position w:val="0"/>
          <w:sz w:val="22"/>
          <w:shd w:fill="auto" w:val="clear"/>
        </w:rPr>
        <w:t xml:space="preserve">(RUM). Le passage au prélèvement Sepa entraîne l’apparition d’un nouveau document, le mandat de prélèvement Sepa, qui vient remplacer la demande et l’autorisation de prélèvement national.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À chaque mandat de prélèvement Sepa correspond une référence unique de mandat (RUM) qui, couplée à l’identifiant créancier Sepa (ICS), propre à chaque créancier, permet d’identifier de manière précise le contrat sous-jacent à tout prélèvement Sepa.</w:t>
      </w:r>
    </w:p>
    <w:p>
      <w:pPr>
        <w:keepNext w:val="true"/>
        <w:numPr>
          <w:ilvl w:val="0"/>
          <w:numId w:val="201"/>
        </w:numPr>
        <w:spacing w:before="120" w:after="120" w:line="240"/>
        <w:ind w:right="0" w:left="2665" w:firstLine="0"/>
        <w:jc w:val="left"/>
        <w:rPr>
          <w:rFonts w:ascii="Times New Roman" w:hAnsi="Times New Roman" w:cs="Times New Roman" w:eastAsia="Times New Roman"/>
          <w:b/>
          <w:i/>
          <w:color w:val="6B2F64"/>
          <w:spacing w:val="0"/>
          <w:position w:val="0"/>
          <w:sz w:val="24"/>
          <w:shd w:fill="auto" w:val="clear"/>
        </w:rPr>
      </w:pPr>
      <w:r>
        <w:rPr>
          <w:rFonts w:ascii="Times New Roman" w:hAnsi="Times New Roman" w:cs="Times New Roman" w:eastAsia="Times New Roman"/>
          <w:i/>
          <w:color w:val="2F5496"/>
          <w:spacing w:val="0"/>
          <w:position w:val="0"/>
          <w:sz w:val="24"/>
          <w:shd w:fill="auto" w:val="clear"/>
        </w:rPr>
        <w:t xml:space="preserve">5.5.5.4. RSS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chaque séjour d’un patient hospitalisé, un </w:t>
      </w:r>
      <w:r>
        <w:rPr>
          <w:rFonts w:ascii="Times New Roman" w:hAnsi="Times New Roman" w:cs="Times New Roman" w:eastAsia="Times New Roman"/>
          <w:b/>
          <w:color w:val="000000"/>
          <w:spacing w:val="0"/>
          <w:position w:val="0"/>
          <w:sz w:val="22"/>
          <w:shd w:fill="auto" w:val="clear"/>
        </w:rPr>
        <w:t xml:space="preserve">résumé de sortie standardisé</w:t>
      </w:r>
      <w:r>
        <w:rPr>
          <w:rFonts w:ascii="Times New Roman" w:hAnsi="Times New Roman" w:cs="Times New Roman" w:eastAsia="Times New Roman"/>
          <w:color w:val="000000"/>
          <w:spacing w:val="0"/>
          <w:position w:val="0"/>
          <w:sz w:val="22"/>
          <w:shd w:fill="auto" w:val="clear"/>
        </w:rPr>
        <w:t xml:space="preserve">, ou RSS, est établi, le plus tôt possible après sa sortie.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RSS contient obligatoirement un diagnostic principal, celui qui a motivé l’admission du patient dans l’unité médicale (UM). Ce diagnostic est déterminé à la sortie de l’UM.</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RSS peut aussi contenir un « diagnostic relié au motif du séjour » et des « diagnostics associés » dits « significatifs », ayant consommé des ressources. Dans le cas inverse (non-consommation de ressources), ces diagnostics associés sont étiquetés « documentaires ».</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diagnostics sont codés d’après la CIM-10 (classification internationale des maladies et recours aux services de santé n</w:t>
      </w:r>
      <w:r>
        <w:rPr>
          <w:rFonts w:ascii="Times New Roman" w:hAnsi="Times New Roman" w:cs="Times New Roman" w:eastAsia="Times New Roman"/>
          <w:color w:val="000000"/>
          <w:spacing w:val="0"/>
          <w:position w:val="0"/>
          <w:sz w:val="22"/>
          <w:shd w:fill="auto" w:val="clear"/>
          <w:vertAlign w:val="superscript"/>
        </w:rPr>
        <w:t xml:space="preserve">o</w:t>
      </w:r>
      <w:r>
        <w:rPr>
          <w:rFonts w:ascii="Times New Roman" w:hAnsi="Times New Roman" w:cs="Times New Roman" w:eastAsia="Times New Roman"/>
          <w:color w:val="000000"/>
          <w:spacing w:val="0"/>
          <w:position w:val="0"/>
          <w:sz w:val="22"/>
          <w:shd w:fill="auto" w:val="clear"/>
        </w:rPr>
        <w:t xml:space="preserve"> 10), éditée par l’OMS et faisant l’objet d’extensions régulières par le ministère de la Santé. Ils peuvent aussi contenir des actes techniques codés d’après la CCAM (classification commune des actes médicaux).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Si le séjour dans l’établissement a fait l’objet de mutations dans plusieurs unités de soins (différentes spécialités, unité de soins intensifs, etc.), chaque unité fournit à la sortie du patient un « RUM » (résumé d’unité médicale. Le RUM contient des données concernant le séjour du patient dans une UM donnée.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RSS sont anonymisés et deviennent alors des « RSA », ou résumés de sortie anonyme, qui sont </w:t>
      </w:r>
      <w:r>
        <w:rPr>
          <w:rFonts w:ascii="Times New Roman" w:hAnsi="Times New Roman" w:cs="Times New Roman" w:eastAsia="Times New Roman"/>
          <w:color w:val="auto"/>
          <w:spacing w:val="0"/>
          <w:position w:val="0"/>
          <w:sz w:val="22"/>
          <w:shd w:fill="auto" w:val="clear"/>
        </w:rPr>
        <w:t xml:space="preserve">transmis</w:t>
      </w:r>
      <w:r>
        <w:rPr>
          <w:rFonts w:ascii="Times New Roman" w:hAnsi="Times New Roman" w:cs="Times New Roman" w:eastAsia="Times New Roman"/>
          <w:color w:val="000000"/>
          <w:spacing w:val="0"/>
          <w:position w:val="0"/>
          <w:sz w:val="22"/>
          <w:shd w:fill="auto" w:val="clear"/>
        </w:rPr>
        <w:t xml:space="preserve"> à l’ARS (Agence régionale de santé).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L’anonymisation s’effectue par un algorithme de hachage, qui a été validé par la Cnil : il s’agit de transformer les chiffres permettant l’identification du patient en une chaîne de caractères, chiffres et lettres ; cette fonction, impossible un calcul inverse, ne permet pas de retrouver les données permettant d’identifier le patient. Cette fonction a pour intérêt à la fois d’assurer l’anonymat du patient, mais également d’effectuer un suivi épidémiologique.</w:t>
      </w:r>
    </w:p>
    <w:p>
      <w:pPr>
        <w:spacing w:before="0" w:after="160" w:line="259"/>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Liste des lettres-clés par spécialité</w:t>
      </w:r>
    </w:p>
    <w:p>
      <w:pPr>
        <w:spacing w:before="0" w:after="0" w:line="276"/>
        <w:ind w:right="0" w:left="0" w:firstLine="0"/>
        <w:jc w:val="both"/>
        <w:rPr>
          <w:rFonts w:ascii="Times New Roman" w:hAnsi="Times New Roman" w:cs="Times New Roman" w:eastAsia="Times New Roman"/>
          <w:b/>
          <w:color w:val="002060"/>
          <w:spacing w:val="0"/>
          <w:position w:val="0"/>
          <w:sz w:val="68"/>
          <w:u w:val="single"/>
          <w:shd w:fill="auto" w:val="clear"/>
        </w:rPr>
      </w:pPr>
      <w:r>
        <w:object w:dxaOrig="10873" w:dyaOrig="12169">
          <v:rect xmlns:o="urn:schemas-microsoft-com:office:office" xmlns:v="urn:schemas-microsoft-com:vml" id="rectole0000000014" style="width:543.650000pt;height:608.45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14" ShapeID="rectole0000000014" r:id="docRId29"/>
        </w:object>
      </w:r>
    </w:p>
    <w:p>
      <w:pPr>
        <w:keepNext w:val="true"/>
        <w:numPr>
          <w:ilvl w:val="0"/>
          <w:numId w:val="205"/>
        </w:numPr>
        <w:spacing w:before="240" w:after="120" w:line="240"/>
        <w:ind w:right="0" w:left="1531" w:firstLine="0"/>
        <w:jc w:val="left"/>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b/>
          <w:color w:val="2F5496"/>
          <w:spacing w:val="0"/>
          <w:position w:val="0"/>
          <w:sz w:val="32"/>
          <w:shd w:fill="auto" w:val="clear"/>
        </w:rPr>
        <w:t xml:space="preserve">6. Pédiatrie</w:t>
      </w:r>
    </w:p>
    <w:p>
      <w:pPr>
        <w:keepNext w:val="true"/>
        <w:numPr>
          <w:ilvl w:val="0"/>
          <w:numId w:val="205"/>
        </w:numPr>
        <w:spacing w:before="200" w:after="120" w:line="240"/>
        <w:ind w:right="0" w:left="1814" w:firstLine="0"/>
        <w:jc w:val="left"/>
        <w:rPr>
          <w:rFonts w:ascii="Times New Roman" w:hAnsi="Times New Roman" w:cs="Times New Roman" w:eastAsia="Times New Roman"/>
          <w:b/>
          <w:color w:val="002060"/>
          <w:spacing w:val="0"/>
          <w:position w:val="0"/>
          <w:sz w:val="28"/>
          <w:shd w:fill="auto" w:val="clear"/>
        </w:rPr>
      </w:pPr>
      <w:r>
        <w:rPr>
          <w:rFonts w:ascii="Times New Roman" w:hAnsi="Times New Roman" w:cs="Times New Roman" w:eastAsia="Times New Roman"/>
          <w:b/>
          <w:color w:val="2F5496"/>
          <w:spacing w:val="0"/>
          <w:position w:val="0"/>
          <w:sz w:val="28"/>
          <w:shd w:fill="auto" w:val="clear"/>
        </w:rPr>
        <w:t xml:space="preserve">6.1. La croissance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La croissance correspond à l’augmentation de la taille, du poids et au développement et à la maturation des différents organes du corps humain</w:t>
      </w:r>
      <w:r>
        <w:rPr>
          <w:rFonts w:ascii="Times New Roman" w:hAnsi="Times New Roman" w:cs="Times New Roman" w:eastAsia="Times New Roman"/>
          <w:color w:val="000000"/>
          <w:spacing w:val="0"/>
          <w:position w:val="0"/>
          <w:sz w:val="22"/>
          <w:shd w:fill="auto" w:val="clear"/>
        </w:rPr>
        <w:t xml:space="preserve">. Différents facteurs interviennent, tels que les facteurs héréditaires, alimentaires, environnementaux, psycho-affectifs et hormonaux. Les hormones de croissance sont sécrétées par l’hypophyse mais les hormones thyroïdiennes et les hormones sexuelles jouent aussi un rôle dans le développement.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différents paramètres permettant au médecin de mesurer la croissance du nourrisson et de l’enfant sont le périmètre crânien, le poids, la taille et l’appréciation du développement psychomoteur et de l’intégration sociale, familiale de l’enfant.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mesure du périmètre crânien est très importante jusqu’aux 3 ans de l’enfant car elle permet de s’assurer du bon développement du cerveau.</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 données sont consignées dans le </w:t>
      </w:r>
      <w:r>
        <w:rPr>
          <w:rFonts w:ascii="Times New Roman" w:hAnsi="Times New Roman" w:cs="Times New Roman" w:eastAsia="Times New Roman"/>
          <w:b/>
          <w:color w:val="000000"/>
          <w:spacing w:val="0"/>
          <w:position w:val="0"/>
          <w:sz w:val="22"/>
          <w:shd w:fill="auto" w:val="clear"/>
        </w:rPr>
        <w:t xml:space="preserve">carnet de santé de l’enfant </w:t>
      </w:r>
      <w:r>
        <w:rPr>
          <w:rFonts w:ascii="Times New Roman" w:hAnsi="Times New Roman" w:cs="Times New Roman" w:eastAsia="Times New Roman"/>
          <w:color w:val="000000"/>
          <w:spacing w:val="0"/>
          <w:position w:val="0"/>
          <w:sz w:val="22"/>
          <w:shd w:fill="auto" w:val="clear"/>
        </w:rPr>
        <w:t xml:space="preserve">et les courbes de poids, de taille, du périmètre crânien et de la corpulence avec le calcul de l’indice de masse corporelle (IMC) sont réalisées. Cela permet de se rendre compte de l’état de santé du nourrisson puis de l’enfant par rapport à la moyenne des enfants du même âge.</w:t>
      </w:r>
    </w:p>
    <w:p>
      <w:pPr>
        <w:spacing w:before="0" w:after="160" w:line="256"/>
        <w:ind w:right="0" w:left="0" w:firstLine="0"/>
        <w:jc w:val="both"/>
        <w:rPr>
          <w:rFonts w:ascii="Times New Roman" w:hAnsi="Times New Roman" w:cs="Times New Roman" w:eastAsia="Times New Roman"/>
          <w:color w:val="000000"/>
          <w:spacing w:val="0"/>
          <w:position w:val="0"/>
          <w:sz w:val="24"/>
          <w:shd w:fill="auto" w:val="clear"/>
        </w:rPr>
      </w:pPr>
    </w:p>
    <w:p>
      <w:pPr>
        <w:spacing w:before="0" w:after="160" w:line="256"/>
        <w:ind w:right="0" w:left="0" w:firstLine="0"/>
        <w:jc w:val="both"/>
        <w:rPr>
          <w:rFonts w:ascii="Times New Roman" w:hAnsi="Times New Roman" w:cs="Times New Roman" w:eastAsia="Times New Roman"/>
          <w:color w:val="000000"/>
          <w:spacing w:val="0"/>
          <w:position w:val="0"/>
          <w:sz w:val="24"/>
          <w:shd w:fill="auto" w:val="clear"/>
        </w:rPr>
      </w:pPr>
      <w:r>
        <w:object w:dxaOrig="8604" w:dyaOrig="12006">
          <v:rect xmlns:o="urn:schemas-microsoft-com:office:office" xmlns:v="urn:schemas-microsoft-com:vml" id="rectole0000000015" style="width:430.200000pt;height:600.30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15" ShapeID="rectole0000000015" r:id="docRId31"/>
        </w:object>
      </w:r>
    </w:p>
    <w:p>
      <w:pPr>
        <w:spacing w:before="0" w:after="160" w:line="256"/>
        <w:ind w:right="0" w:left="0" w:firstLine="0"/>
        <w:jc w:val="both"/>
        <w:rPr>
          <w:rFonts w:ascii="Times New Roman" w:hAnsi="Times New Roman" w:cs="Times New Roman" w:eastAsia="Times New Roman"/>
          <w:color w:val="000000"/>
          <w:spacing w:val="0"/>
          <w:position w:val="0"/>
          <w:sz w:val="24"/>
          <w:shd w:fill="auto" w:val="clear"/>
        </w:rPr>
      </w:pPr>
      <w:r>
        <w:object w:dxaOrig="8118" w:dyaOrig="11318">
          <v:rect xmlns:o="urn:schemas-microsoft-com:office:office" xmlns:v="urn:schemas-microsoft-com:vml" id="rectole0000000016" style="width:405.900000pt;height:565.90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6" ShapeID="rectole0000000016" r:id="docRId33"/>
        </w:object>
      </w:r>
    </w:p>
    <w:p>
      <w:pPr>
        <w:spacing w:before="0" w:after="160" w:line="256"/>
        <w:ind w:right="0" w:left="0" w:firstLine="0"/>
        <w:jc w:val="both"/>
        <w:rPr>
          <w:rFonts w:ascii="Times New Roman" w:hAnsi="Times New Roman" w:cs="Times New Roman" w:eastAsia="Times New Roman"/>
          <w:color w:val="000000"/>
          <w:spacing w:val="0"/>
          <w:position w:val="0"/>
          <w:sz w:val="24"/>
          <w:shd w:fill="auto" w:val="clear"/>
        </w:rPr>
      </w:pPr>
    </w:p>
    <w:p>
      <w:pPr>
        <w:spacing w:before="0" w:after="160" w:line="256"/>
        <w:ind w:right="0" w:left="0" w:firstLine="0"/>
        <w:jc w:val="both"/>
        <w:rPr>
          <w:rFonts w:ascii="Times New Roman" w:hAnsi="Times New Roman" w:cs="Times New Roman" w:eastAsia="Times New Roman"/>
          <w:color w:val="000000"/>
          <w:spacing w:val="0"/>
          <w:position w:val="0"/>
          <w:sz w:val="24"/>
          <w:shd w:fill="auto" w:val="clear"/>
        </w:rPr>
      </w:pPr>
      <w:r>
        <w:object w:dxaOrig="7633" w:dyaOrig="10691">
          <v:rect xmlns:o="urn:schemas-microsoft-com:office:office" xmlns:v="urn:schemas-microsoft-com:vml" id="rectole0000000017" style="width:381.650000pt;height:534.55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17" ShapeID="rectole0000000017" r:id="docRId35"/>
        </w:object>
      </w:r>
    </w:p>
    <w:p>
      <w:pPr>
        <w:spacing w:before="0" w:after="160" w:line="256"/>
        <w:ind w:right="0" w:left="0" w:firstLine="0"/>
        <w:jc w:val="both"/>
        <w:rPr>
          <w:rFonts w:ascii="Times New Roman" w:hAnsi="Times New Roman" w:cs="Times New Roman" w:eastAsia="Times New Roman"/>
          <w:color w:val="000000"/>
          <w:spacing w:val="0"/>
          <w:position w:val="0"/>
          <w:sz w:val="24"/>
          <w:shd w:fill="auto" w:val="clear"/>
        </w:rPr>
      </w:pPr>
    </w:p>
    <w:p>
      <w:pPr>
        <w:spacing w:before="0" w:after="160" w:line="256"/>
        <w:ind w:right="0" w:left="0" w:firstLine="0"/>
        <w:jc w:val="both"/>
        <w:rPr>
          <w:rFonts w:ascii="Times New Roman" w:hAnsi="Times New Roman" w:cs="Times New Roman" w:eastAsia="Times New Roman"/>
          <w:color w:val="000000"/>
          <w:spacing w:val="0"/>
          <w:position w:val="0"/>
          <w:sz w:val="24"/>
          <w:shd w:fill="auto" w:val="clear"/>
        </w:rPr>
      </w:pPr>
    </w:p>
    <w:p>
      <w:pPr>
        <w:spacing w:before="0" w:after="160" w:line="256"/>
        <w:ind w:right="0" w:left="0" w:firstLine="0"/>
        <w:jc w:val="both"/>
        <w:rPr>
          <w:rFonts w:ascii="Times New Roman" w:hAnsi="Times New Roman" w:cs="Times New Roman" w:eastAsia="Times New Roman"/>
          <w:color w:val="000000"/>
          <w:spacing w:val="0"/>
          <w:position w:val="0"/>
          <w:sz w:val="24"/>
          <w:shd w:fill="auto" w:val="clear"/>
        </w:rPr>
      </w:pPr>
      <w:r>
        <w:object w:dxaOrig="8383" w:dyaOrig="11804">
          <v:rect xmlns:o="urn:schemas-microsoft-com:office:office" xmlns:v="urn:schemas-microsoft-com:vml" id="rectole0000000018" style="width:419.150000pt;height:590.20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Metafile" DrawAspect="Content" ObjectID="0000000018" ShapeID="rectole0000000018" r:id="docRId37"/>
        </w:object>
      </w:r>
    </w:p>
    <w:p>
      <w:pPr>
        <w:spacing w:before="0" w:after="0" w:line="276"/>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distingue différentes phases dans la croissance de l’enfant. Tout d’abord, on parle de croissance f</w:t>
      </w:r>
      <w:r>
        <w:rPr>
          <w:rFonts w:ascii="Times New Roman" w:hAnsi="Times New Roman" w:cs="Times New Roman" w:eastAsia="Times New Roman"/>
          <w:color w:val="000000"/>
          <w:spacing w:val="0"/>
          <w:position w:val="0"/>
          <w:sz w:val="22"/>
          <w:shd w:fill="auto" w:val="clear"/>
        </w:rPr>
        <w:t xml:space="preserve">œtale, in utero, qui est tr</w:t>
      </w:r>
      <w:r>
        <w:rPr>
          <w:rFonts w:ascii="Times New Roman" w:hAnsi="Times New Roman" w:cs="Times New Roman" w:eastAsia="Times New Roman"/>
          <w:color w:val="000000"/>
          <w:spacing w:val="0"/>
          <w:position w:val="0"/>
          <w:sz w:val="22"/>
          <w:shd w:fill="auto" w:val="clear"/>
        </w:rPr>
        <w:t xml:space="preserve">ès rapide.</w:t>
      </w:r>
    </w:p>
    <w:p>
      <w:pPr>
        <w:spacing w:before="0" w:after="0" w:line="276"/>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r>
        <w:object w:dxaOrig="8585" w:dyaOrig="12026">
          <v:rect xmlns:o="urn:schemas-microsoft-com:office:office" xmlns:v="urn:schemas-microsoft-com:vml" id="rectole0000000019" style="width:429.250000pt;height:601.30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StaticMetafile" DrawAspect="Content" ObjectID="0000000019" ShapeID="rectole0000000019" r:id="docRId39"/>
        </w:object>
      </w:r>
    </w:p>
    <w:p>
      <w:pPr>
        <w:spacing w:before="0" w:after="0" w:line="276"/>
        <w:ind w:right="0" w:left="0" w:firstLine="0"/>
        <w:jc w:val="both"/>
        <w:rPr>
          <w:rFonts w:ascii="Times New Roman" w:hAnsi="Times New Roman" w:cs="Times New Roman" w:eastAsia="Times New Roman"/>
          <w:b/>
          <w:color w:val="2F5496"/>
          <w:spacing w:val="0"/>
          <w:position w:val="0"/>
          <w:sz w:val="24"/>
          <w:shd w:fill="auto" w:val="clear"/>
        </w:rPr>
      </w:pPr>
      <w:r>
        <w:rPr>
          <w:rFonts w:ascii="Times New Roman" w:hAnsi="Times New Roman" w:cs="Times New Roman" w:eastAsia="Times New Roman"/>
          <w:b/>
          <w:color w:val="2F5496"/>
          <w:spacing w:val="0"/>
          <w:position w:val="0"/>
          <w:sz w:val="24"/>
          <w:shd w:fill="auto" w:val="clear"/>
        </w:rPr>
        <w:t xml:space="preserve">1</w:t>
      </w:r>
      <w:r>
        <w:rPr>
          <w:rFonts w:ascii="Times New Roman" w:hAnsi="Times New Roman" w:cs="Times New Roman" w:eastAsia="Times New Roman"/>
          <w:b/>
          <w:color w:val="2F5496"/>
          <w:spacing w:val="0"/>
          <w:position w:val="0"/>
          <w:sz w:val="24"/>
          <w:shd w:fill="auto" w:val="clear"/>
          <w:vertAlign w:val="superscript"/>
        </w:rPr>
        <w:t xml:space="preserve">re</w:t>
      </w:r>
      <w:r>
        <w:rPr>
          <w:rFonts w:ascii="Times New Roman" w:hAnsi="Times New Roman" w:cs="Times New Roman" w:eastAsia="Times New Roman"/>
          <w:b/>
          <w:color w:val="2F5496"/>
          <w:spacing w:val="0"/>
          <w:position w:val="0"/>
          <w:sz w:val="24"/>
          <w:shd w:fill="auto" w:val="clear"/>
        </w:rPr>
        <w:t xml:space="preserve"> phase de croissance : de 0 à 4 ans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À la naissance, le nourrisson pèse en moyenne 3 500 grammes, mesure 50 centimètres et le périmètre crânien est de 35,5 centimètres.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premiers jours de vie, le poids du bébé diminue d’environ 10 % en raison de l’adaptation de son corps à la vie extra-utérine. Le poids de naissance est normalement atteint de nouveau entre le 8</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et le 15</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jour de vie. Durant cette phase rapide de croissance, le poids de naissance est quadruplé à 4 ans pour atteindre 14 à 15 kilogrammes et la taille double pour atteindre 1 mètre.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On parle de </w:t>
      </w:r>
      <w:r>
        <w:rPr>
          <w:rFonts w:ascii="Times New Roman" w:hAnsi="Times New Roman" w:cs="Times New Roman" w:eastAsia="Times New Roman"/>
          <w:b/>
          <w:color w:val="000000"/>
          <w:spacing w:val="0"/>
          <w:position w:val="0"/>
          <w:sz w:val="22"/>
          <w:shd w:fill="auto" w:val="clear"/>
        </w:rPr>
        <w:t xml:space="preserve">nouveau-né </w:t>
      </w:r>
      <w:r>
        <w:rPr>
          <w:rFonts w:ascii="Times New Roman" w:hAnsi="Times New Roman" w:cs="Times New Roman" w:eastAsia="Times New Roman"/>
          <w:color w:val="000000"/>
          <w:spacing w:val="0"/>
          <w:position w:val="0"/>
          <w:sz w:val="22"/>
          <w:shd w:fill="auto" w:val="clear"/>
        </w:rPr>
        <w:t xml:space="preserve">pour un enfant de la naissance à ses 28 jours, de </w:t>
      </w:r>
      <w:r>
        <w:rPr>
          <w:rFonts w:ascii="Times New Roman" w:hAnsi="Times New Roman" w:cs="Times New Roman" w:eastAsia="Times New Roman"/>
          <w:b/>
          <w:color w:val="000000"/>
          <w:spacing w:val="0"/>
          <w:position w:val="0"/>
          <w:sz w:val="22"/>
          <w:shd w:fill="auto" w:val="clear"/>
        </w:rPr>
        <w:t xml:space="preserve">nourrisson </w:t>
      </w:r>
      <w:r>
        <w:rPr>
          <w:rFonts w:ascii="Times New Roman" w:hAnsi="Times New Roman" w:cs="Times New Roman" w:eastAsia="Times New Roman"/>
          <w:color w:val="000000"/>
          <w:spacing w:val="0"/>
          <w:position w:val="0"/>
          <w:sz w:val="22"/>
          <w:shd w:fill="auto" w:val="clear"/>
        </w:rPr>
        <w:t xml:space="preserve">pour un bébé de 1 à 30 mois et d’enfant entre 2 ans et… l’âge de l’</w:t>
      </w:r>
      <w:r>
        <w:rPr>
          <w:rFonts w:ascii="Times New Roman" w:hAnsi="Times New Roman" w:cs="Times New Roman" w:eastAsia="Times New Roman"/>
          <w:b/>
          <w:color w:val="000000"/>
          <w:spacing w:val="0"/>
          <w:position w:val="0"/>
          <w:sz w:val="22"/>
          <w:shd w:fill="auto" w:val="clear"/>
        </w:rPr>
        <w:t xml:space="preserve">entrée dans la puberté</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2F5496"/>
          <w:spacing w:val="0"/>
          <w:position w:val="0"/>
          <w:sz w:val="24"/>
          <w:shd w:fill="auto" w:val="clear"/>
        </w:rPr>
        <w:t xml:space="preserve">2</w:t>
      </w:r>
      <w:r>
        <w:rPr>
          <w:rFonts w:ascii="Times New Roman" w:hAnsi="Times New Roman" w:cs="Times New Roman" w:eastAsia="Times New Roman"/>
          <w:b/>
          <w:color w:val="2F5496"/>
          <w:spacing w:val="0"/>
          <w:position w:val="0"/>
          <w:sz w:val="24"/>
          <w:shd w:fill="auto" w:val="clear"/>
          <w:vertAlign w:val="superscript"/>
        </w:rPr>
        <w:t xml:space="preserve">e</w:t>
      </w:r>
      <w:r>
        <w:rPr>
          <w:rFonts w:ascii="Times New Roman" w:hAnsi="Times New Roman" w:cs="Times New Roman" w:eastAsia="Times New Roman"/>
          <w:b/>
          <w:color w:val="2F5496"/>
          <w:spacing w:val="0"/>
          <w:position w:val="0"/>
          <w:sz w:val="24"/>
          <w:shd w:fill="auto" w:val="clear"/>
        </w:rPr>
        <w:t xml:space="preserve"> phase de croissance : de 4 ans jusqu’au début de la puberté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croissance de l’enfant est régulière, à raison de 5 à 6 centimètres par an pour la taille, et le poids de naissance est multiplié par 10 à 10 ans, pour atteindre 35 kilogrammes environ.</w:t>
      </w:r>
    </w:p>
    <w:p>
      <w:pPr>
        <w:spacing w:before="0" w:after="160" w:line="25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b/>
          <w:color w:val="2F5496"/>
          <w:spacing w:val="0"/>
          <w:position w:val="0"/>
          <w:sz w:val="24"/>
          <w:shd w:fill="auto" w:val="clear"/>
        </w:rPr>
      </w:pPr>
      <w:r>
        <w:rPr>
          <w:rFonts w:ascii="Times New Roman" w:hAnsi="Times New Roman" w:cs="Times New Roman" w:eastAsia="Times New Roman"/>
          <w:b/>
          <w:color w:val="2F5496"/>
          <w:spacing w:val="0"/>
          <w:position w:val="0"/>
          <w:sz w:val="24"/>
          <w:shd w:fill="auto" w:val="clear"/>
        </w:rPr>
        <w:t xml:space="preserve">3</w:t>
      </w:r>
      <w:r>
        <w:rPr>
          <w:rFonts w:ascii="Times New Roman" w:hAnsi="Times New Roman" w:cs="Times New Roman" w:eastAsia="Times New Roman"/>
          <w:b/>
          <w:color w:val="2F5496"/>
          <w:spacing w:val="0"/>
          <w:position w:val="0"/>
          <w:sz w:val="24"/>
          <w:shd w:fill="auto" w:val="clear"/>
          <w:vertAlign w:val="superscript"/>
        </w:rPr>
        <w:t xml:space="preserve">e</w:t>
      </w:r>
      <w:r>
        <w:rPr>
          <w:rFonts w:ascii="Times New Roman" w:hAnsi="Times New Roman" w:cs="Times New Roman" w:eastAsia="Times New Roman"/>
          <w:b/>
          <w:color w:val="2F5496"/>
          <w:spacing w:val="0"/>
          <w:position w:val="0"/>
          <w:sz w:val="24"/>
          <w:shd w:fill="auto" w:val="clear"/>
        </w:rPr>
        <w:t xml:space="preserve"> phase de croissance : la poussé pubertaire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Cette croissance rapide s’observe d’abord sur les mains et les pieds, les membres puis le rachis : c’est le pic de croissance statural. On observe une différence chez les garçons et les filles, puisque cette phase commence vers 11 ans chez la fille et 13 ans chez le garçon. Au niveau du poids, les garçons connaissent en même temps un pic de croissance pondéral tandis que, chez la fille, ce pic est postérieur au pic de croissance statural.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b/>
          <w:color w:val="2F5496"/>
          <w:spacing w:val="0"/>
          <w:position w:val="0"/>
          <w:sz w:val="24"/>
          <w:shd w:fill="auto" w:val="clear"/>
        </w:rPr>
      </w:pPr>
      <w:r>
        <w:rPr>
          <w:rFonts w:ascii="Times New Roman" w:hAnsi="Times New Roman" w:cs="Times New Roman" w:eastAsia="Times New Roman"/>
          <w:b/>
          <w:color w:val="2F5496"/>
          <w:spacing w:val="0"/>
          <w:position w:val="0"/>
          <w:sz w:val="24"/>
          <w:shd w:fill="auto" w:val="clear"/>
        </w:rPr>
        <w:t xml:space="preserve">4</w:t>
      </w:r>
      <w:r>
        <w:rPr>
          <w:rFonts w:ascii="Times New Roman" w:hAnsi="Times New Roman" w:cs="Times New Roman" w:eastAsia="Times New Roman"/>
          <w:b/>
          <w:color w:val="2F5496"/>
          <w:spacing w:val="0"/>
          <w:position w:val="0"/>
          <w:sz w:val="24"/>
          <w:shd w:fill="auto" w:val="clear"/>
          <w:vertAlign w:val="superscript"/>
        </w:rPr>
        <w:t xml:space="preserve">e</w:t>
      </w:r>
      <w:r>
        <w:rPr>
          <w:rFonts w:ascii="Times New Roman" w:hAnsi="Times New Roman" w:cs="Times New Roman" w:eastAsia="Times New Roman"/>
          <w:b/>
          <w:color w:val="2F5496"/>
          <w:spacing w:val="0"/>
          <w:position w:val="0"/>
          <w:sz w:val="24"/>
          <w:shd w:fill="auto" w:val="clear"/>
        </w:rPr>
        <w:t xml:space="preserve"> phase de croissance : la puberté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Durant cette phase de croissance, les organes sexuels arrivent à maturité pour permettre la reproduction. Cette maturation et ces modifications physiques s’accompagnent de modifications psychiques et comportementales.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Lors de cette phase, un message hormonal de l’hypophyse aux organes sexuels (ovaires chez la fille et testicules chez le garçon) permet la sécrétion d’</w:t>
      </w:r>
      <w:r>
        <w:rPr>
          <w:rFonts w:ascii="Times New Roman" w:hAnsi="Times New Roman" w:cs="Times New Roman" w:eastAsia="Times New Roman"/>
          <w:color w:val="000000"/>
          <w:spacing w:val="0"/>
          <w:position w:val="0"/>
          <w:sz w:val="22"/>
          <w:shd w:fill="auto" w:val="clear"/>
        </w:rPr>
        <w:t xml:space="preserve">œstrog</w:t>
      </w:r>
      <w:r>
        <w:rPr>
          <w:rFonts w:ascii="Times New Roman" w:hAnsi="Times New Roman" w:cs="Times New Roman" w:eastAsia="Times New Roman"/>
          <w:color w:val="000000"/>
          <w:spacing w:val="0"/>
          <w:position w:val="0"/>
          <w:sz w:val="22"/>
          <w:shd w:fill="auto" w:val="clear"/>
        </w:rPr>
        <w:t xml:space="preserve">ènes pour les filles et de testostérone pour les garçons. La sécrétion de ces hormones est le signe du début de la puberté.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Chez les filles, l’aréole autour du mamelon grossit puis la poitrine commence à se développer, ainsi que les organes génitaux externes. La pilosité se développe. Les premières règles apparaissent vers 13 ans.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Chez le garçon, le volume des testicules augmente et la pilosité apparaît. La taille du pénis augmente et la voix mue. Vers 16 ans, la pilosité sur le visage et sur le torse se développe.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Au niveau comportemental, des complexes physiques peuvent apparaître, ainsi qu’un manque de confiance en soi, de l’émotivité et une humeur versatile. C’est une période charnière dans laquelle l’adolescent est tiraillé entre le désir d’une plus grande autonomie et la peur de l’entrée dans le monde des adultes. Des comportements à risque peuvent apparaître, de même qu’une contestation de l’autorité et de l’agressivité.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consultations avec le pédiatre permettent :</w:t>
      </w:r>
    </w:p>
    <w:p>
      <w:pPr>
        <w:numPr>
          <w:ilvl w:val="0"/>
          <w:numId w:val="21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de </w:t>
      </w:r>
      <w:r>
        <w:rPr>
          <w:rFonts w:ascii="Times New Roman" w:hAnsi="Times New Roman" w:cs="Times New Roman" w:eastAsia="Times New Roman"/>
          <w:b/>
          <w:color w:val="000000"/>
          <w:spacing w:val="0"/>
          <w:position w:val="0"/>
          <w:sz w:val="22"/>
          <w:shd w:fill="auto" w:val="clear"/>
        </w:rPr>
        <w:t xml:space="preserve">prévenir</w:t>
      </w:r>
      <w:r>
        <w:rPr>
          <w:rFonts w:ascii="Times New Roman" w:hAnsi="Times New Roman" w:cs="Times New Roman" w:eastAsia="Times New Roman"/>
          <w:color w:val="000000"/>
          <w:spacing w:val="0"/>
          <w:position w:val="0"/>
          <w:sz w:val="22"/>
          <w:shd w:fill="auto" w:val="clear"/>
        </w:rPr>
        <w:t xml:space="preserve"> l’apparition de certaines maladies par la vaccination ;</w:t>
      </w:r>
    </w:p>
    <w:p>
      <w:pPr>
        <w:numPr>
          <w:ilvl w:val="0"/>
          <w:numId w:val="21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de </w:t>
      </w:r>
      <w:r>
        <w:rPr>
          <w:rFonts w:ascii="Times New Roman" w:hAnsi="Times New Roman" w:cs="Times New Roman" w:eastAsia="Times New Roman"/>
          <w:b/>
          <w:color w:val="000000"/>
          <w:spacing w:val="0"/>
          <w:position w:val="0"/>
          <w:sz w:val="22"/>
          <w:shd w:fill="auto" w:val="clear"/>
        </w:rPr>
        <w:t xml:space="preserve">dépister</w:t>
      </w:r>
      <w:r>
        <w:rPr>
          <w:rFonts w:ascii="Times New Roman" w:hAnsi="Times New Roman" w:cs="Times New Roman" w:eastAsia="Times New Roman"/>
          <w:color w:val="000000"/>
          <w:spacing w:val="0"/>
          <w:position w:val="0"/>
          <w:sz w:val="22"/>
          <w:shd w:fill="auto" w:val="clear"/>
        </w:rPr>
        <w:t xml:space="preserve"> des malformations, des déficits et des carences ;</w:t>
      </w:r>
    </w:p>
    <w:p>
      <w:pPr>
        <w:numPr>
          <w:ilvl w:val="0"/>
          <w:numId w:val="21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de </w:t>
      </w:r>
      <w:r>
        <w:rPr>
          <w:rFonts w:ascii="Times New Roman" w:hAnsi="Times New Roman" w:cs="Times New Roman" w:eastAsia="Times New Roman"/>
          <w:b/>
          <w:color w:val="000000"/>
          <w:spacing w:val="0"/>
          <w:position w:val="0"/>
          <w:sz w:val="22"/>
          <w:shd w:fill="auto" w:val="clear"/>
        </w:rPr>
        <w:t xml:space="preserve">traiter</w:t>
      </w:r>
      <w:r>
        <w:rPr>
          <w:rFonts w:ascii="Times New Roman" w:hAnsi="Times New Roman" w:cs="Times New Roman" w:eastAsia="Times New Roman"/>
          <w:color w:val="000000"/>
          <w:spacing w:val="0"/>
          <w:position w:val="0"/>
          <w:sz w:val="22"/>
          <w:shd w:fill="auto" w:val="clear"/>
        </w:rPr>
        <w:t xml:space="preserve"> des pathologies infantiles ;</w:t>
      </w:r>
    </w:p>
    <w:p>
      <w:pPr>
        <w:numPr>
          <w:ilvl w:val="0"/>
          <w:numId w:val="213"/>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d’apprécier</w:t>
      </w:r>
      <w:r>
        <w:rPr>
          <w:rFonts w:ascii="Times New Roman" w:hAnsi="Times New Roman" w:cs="Times New Roman" w:eastAsia="Times New Roman"/>
          <w:color w:val="000000"/>
          <w:spacing w:val="0"/>
          <w:position w:val="0"/>
          <w:sz w:val="22"/>
          <w:shd w:fill="auto" w:val="clear"/>
        </w:rPr>
        <w:t xml:space="preserve"> le bon développement psychomoteur et psychologique de l’enfant et d’assurer un suivi de la croissance de l’enfant.</w:t>
      </w:r>
    </w:p>
    <w:p>
      <w:pPr>
        <w:spacing w:before="0" w:after="160" w:line="25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15"/>
        </w:numPr>
        <w:spacing w:before="200" w:after="120" w:line="240"/>
        <w:ind w:right="0" w:left="1814"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b/>
          <w:color w:val="2F5496"/>
          <w:spacing w:val="0"/>
          <w:position w:val="0"/>
          <w:sz w:val="28"/>
          <w:shd w:fill="auto" w:val="clear"/>
        </w:rPr>
        <w:t xml:space="preserve">6.2. Le sommeil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Le sommeil </w:t>
      </w:r>
      <w:r>
        <w:rPr>
          <w:rFonts w:ascii="Times New Roman" w:hAnsi="Times New Roman" w:cs="Times New Roman" w:eastAsia="Times New Roman"/>
          <w:color w:val="000000"/>
          <w:spacing w:val="0"/>
          <w:position w:val="0"/>
          <w:sz w:val="22"/>
          <w:shd w:fill="auto" w:val="clear"/>
        </w:rPr>
        <w:t xml:space="preserve">est réparateur pour l’organisme et participe à la mémorisation et à l’apprentissage de l’enfant. Les hormones de croissance sont sécrétées durant le sommeil. Chez le nouveau-né, le temps de sommeil est d’environ 16 heures ; 12 heures vers 3 ans ; 10 heures à 6 ans ; 9 heures à 12 ans pour arriver à 7 heures à l’âge de 20 ans.</w:t>
      </w:r>
    </w:p>
    <w:p>
      <w:pPr>
        <w:spacing w:before="0" w:after="160" w:line="25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18"/>
        </w:numPr>
        <w:spacing w:before="200" w:after="120" w:line="240"/>
        <w:ind w:right="0" w:left="1814"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b/>
          <w:color w:val="2F5496"/>
          <w:spacing w:val="0"/>
          <w:position w:val="0"/>
          <w:sz w:val="28"/>
          <w:shd w:fill="auto" w:val="clear"/>
        </w:rPr>
        <w:t xml:space="preserve">6.3. L’alimentation</w:t>
      </w:r>
    </w:p>
    <w:p>
      <w:pPr>
        <w:spacing w:before="0" w:after="160" w:line="256"/>
        <w:ind w:right="0" w:left="0" w:firstLine="0"/>
        <w:jc w:val="both"/>
        <w:rPr>
          <w:rFonts w:ascii="Times New Roman" w:hAnsi="Times New Roman" w:cs="Times New Roman" w:eastAsia="Times New Roman"/>
          <w:color w:val="auto"/>
          <w:spacing w:val="0"/>
          <w:position w:val="0"/>
          <w:sz w:val="22"/>
          <w:shd w:fill="auto" w:val="clear"/>
        </w:rPr>
      </w:pPr>
      <w:r>
        <w:object w:dxaOrig="9192" w:dyaOrig="6499">
          <v:rect xmlns:o="urn:schemas-microsoft-com:office:office" xmlns:v="urn:schemas-microsoft-com:vml" id="rectole0000000020" style="width:459.600000pt;height:324.950000pt" o:preferrelative="t" o:ole="">
            <o:lock v:ext="edit"/>
            <v:imagedata xmlns:r="http://schemas.openxmlformats.org/officeDocument/2006/relationships" r:id="docRId42" o:title=""/>
          </v:rect>
          <o:OLEObject xmlns:r="http://schemas.openxmlformats.org/officeDocument/2006/relationships" xmlns:o="urn:schemas-microsoft-com:office:office" Type="Embed" ProgID="StaticMetafile" DrawAspect="Content" ObjectID="0000000020" ShapeID="rectole0000000020" r:id="docRId41"/>
        </w:object>
      </w:r>
    </w:p>
    <w:p>
      <w:pPr>
        <w:spacing w:before="0" w:after="160" w:line="25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De la naissance à 6 mois, l’Organisation mondiale de la santé (OMS) recommande le lait maternel ou infantile exclusivement.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À partir de 6 mois, la diversification commence car le lait ne couvre plus tous les besoins nutritionnels du bébé. Aussi, les premières dents commencent à apparaître à cet âge, donc la mastication des aliments débute. Le nombre de repas est de 4 par jour. C’est une phase de découverte et des refus peuvent survenir ; c’est tout à fait normal l’aliment sera proposé à nouveau plus tard. Chaque enfant a son propre rythme, il est important de le savoir pour ne pas s’alarmer.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ce qui concerne les quantités de nourriture, l’enfant se régule de lui-même, fonction qui disparaît à l’âge adulte. Durant ses premières années de vie, on assiste à une croissance très rapide de l’enfant. Ce sont les lipides qui permettent cette croissance, il est donc important de veiller à ce que l’enfant en consomme et il est inutile de choisir des aliments allégés.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Sur le tableau, on constate qu’il y a 3 phases de diversification : la première de 6 à 8 mois, la deuxième de 9 à 12mois et la troisième après 1 an.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pratique : comment donner le biberon à un bébé ?</w:t>
      </w:r>
    </w:p>
    <w:p>
      <w:pPr>
        <w:numPr>
          <w:ilvl w:val="0"/>
          <w:numId w:val="22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Bien se laver les mains au préalable.</w:t>
      </w:r>
    </w:p>
    <w:p>
      <w:pPr>
        <w:numPr>
          <w:ilvl w:val="0"/>
          <w:numId w:val="22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Trouver une position confortable, semi-assise, au calme.</w:t>
      </w:r>
    </w:p>
    <w:p>
      <w:pPr>
        <w:numPr>
          <w:ilvl w:val="0"/>
          <w:numId w:val="22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Placer le bébé dans le creux du bras en position semi-allongée.</w:t>
      </w:r>
    </w:p>
    <w:p>
      <w:pPr>
        <w:numPr>
          <w:ilvl w:val="0"/>
          <w:numId w:val="22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Vérifier la température du biberon en versant quelques gouttes sur l’intérieur du poignet.</w:t>
      </w:r>
    </w:p>
    <w:p>
      <w:pPr>
        <w:numPr>
          <w:ilvl w:val="0"/>
          <w:numId w:val="221"/>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Caresser les lèvres du bébé avec la tétine, il va naturellement la prendre dans sa bouche</w:t>
      </w:r>
      <w:r>
        <w:rPr>
          <w:rFonts w:ascii="Times New Roman" w:hAnsi="Times New Roman" w:cs="Times New Roman" w:eastAsia="Times New Roman"/>
          <w:color w:val="000000"/>
          <w:spacing w:val="0"/>
          <w:position w:val="0"/>
          <w:sz w:val="24"/>
          <w:shd w:fill="auto" w:val="clear"/>
        </w:rPr>
        <w:t xml:space="preserve">.</w:t>
      </w:r>
    </w:p>
    <w:p>
      <w:pPr>
        <w:numPr>
          <w:ilvl w:val="0"/>
          <w:numId w:val="221"/>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Durant la tétée, vérifier que la tétine est remplie de lait pour que le bébé avale le moins d’air possible. Pour cela, tenir le biberon presque à la verticale</w:t>
      </w:r>
      <w:r>
        <w:rPr>
          <w:rFonts w:ascii="Times New Roman" w:hAnsi="Times New Roman" w:cs="Times New Roman" w:eastAsia="Times New Roman"/>
          <w:color w:val="000000"/>
          <w:spacing w:val="0"/>
          <w:position w:val="0"/>
          <w:sz w:val="24"/>
          <w:shd w:fill="auto" w:val="clear"/>
        </w:rPr>
        <w:t xml:space="preserve">.</w:t>
      </w:r>
    </w:p>
    <w:p>
      <w:pPr>
        <w:numPr>
          <w:ilvl w:val="0"/>
          <w:numId w:val="22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bulles d’air remontant dans le biberon sont le signe que le lait s’écoule bien.</w:t>
      </w:r>
    </w:p>
    <w:p>
      <w:pPr>
        <w:numPr>
          <w:ilvl w:val="0"/>
          <w:numId w:val="221"/>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Chaque bébé a son rythme, il faut prendre le temps, faire des pauses et lui faire faire un rot. Pour cela, tenir le bébé à la verticale contre vous et lui tapoter doucement le dos avec la main si le rot ne vient pas. En général, il arrive dans les 10 minutes après le biberon.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23"/>
        </w:numPr>
        <w:spacing w:before="200" w:after="120" w:line="240"/>
        <w:ind w:right="0" w:left="1814"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b/>
          <w:color w:val="2F5496"/>
          <w:spacing w:val="0"/>
          <w:position w:val="0"/>
          <w:sz w:val="28"/>
          <w:shd w:fill="auto" w:val="clear"/>
        </w:rPr>
        <w:t xml:space="preserve">6.4. La dentition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poussée dentaire accompagne la percée de la gencive par la dent de lait. Elle s’accompagne d’une hyper salivation, d’une inflammation de la gencive avec des douleurs et parfois d’une poussée de fièvre et de selles molles.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soulager la douleur, un massage des gencives peut être réalisé avec le doigt. Un anneau de dentition permet aussi au bébé de soulager ses gencives en le mordillant. Si la poussée s’accompagne de fièvre, du paracétamol peut être administré selon la prescription du pédiatre après un examen pour dédouaner d’autres pathologies pouvant donner une hyperthermie.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incisives centrales de la mâchoire inférieure apparaissent en premier. Viennent ensuite celles de la mâchoire supérieure. Puis les deux autres incisives du haut et du bas, pour arriver à 8 dents au total à 1 an. Viennent ensuite les premières prémolaires, les canines et les deuxièmes prémolaires. L’enfant a généralement 20 dents à 3ans.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ce qui concerne l’hygiène buccodentaire, dès l’apparition de plusieurs dents les parents peuvent les nettoyer deux fois par jour avec une compresse humide. Il est important de ne pas trop donner de produits sucrés à l’enfant, qui favorisent l’apparition de caries dentaires. À partir de 1 an, les dents peuvent être brossées avec une brosse à dents et du dentifrice adaptés. À partir de 2 ans, l’enfant est plus autonome, l’éducation au brossage dentaire débute.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25"/>
        </w:numPr>
        <w:spacing w:before="200" w:after="120" w:line="240"/>
        <w:ind w:right="0" w:left="1814"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2F5496"/>
          <w:spacing w:val="0"/>
          <w:position w:val="0"/>
          <w:sz w:val="28"/>
          <w:shd w:fill="auto" w:val="clear"/>
        </w:rPr>
        <w:t xml:space="preserve">6.5. Pathologies courantes chez le nourrisson</w:t>
      </w:r>
    </w:p>
    <w:p>
      <w:pPr>
        <w:keepNext w:val="true"/>
        <w:numPr>
          <w:ilvl w:val="0"/>
          <w:numId w:val="225"/>
        </w:numPr>
        <w:spacing w:before="140" w:after="120" w:line="240"/>
        <w:ind w:right="0" w:left="2268"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6.5.1. L’érythème fessier du nourrisson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C’est une affection fréquente chez les bébés, leur peau étant fragile et en contact avec l’urine et les selles dans la couche. Cela favorise la macération et l’irritation du fessier. Le risque est augmenté si le nourrisson a une poussée dentaire, une infection rhino-pharyngée, des diarrhées, des fortes chaleurs, des changes trop espacés ou des produits d’hygiène non adaptés trop agressifs.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 rougeurs disparaissent avec des soins appropriés et il est important de surveiller l’état cutané du bébé, car d’autres pathologies peuvent aussi être responsables de symptômes similaires telles que les mycoses (quand les plis sont atteints par les rougeurs) ou les dermites séborrhéiques (desquamation après rougeur débutant au pli de l’aine).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En pratique : conduite à tenir pour prévenir l’érythème fessier</w:t>
      </w:r>
    </w:p>
    <w:p>
      <w:pPr>
        <w:numPr>
          <w:ilvl w:val="0"/>
          <w:numId w:val="22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Changer fréquemment le bébé en évitant les lotions sans rinçage ou les lingettes, car une pellicule se forme sur la peau et favorise la macération. Elles peuvent être utilisées mais en rinçant bien et en séchant par tamponnements.</w:t>
      </w:r>
    </w:p>
    <w:p>
      <w:pPr>
        <w:numPr>
          <w:ilvl w:val="0"/>
          <w:numId w:val="228"/>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Lorsqu’il y a des selles, utiliser de l’eau et du savon doux adapté en rinçant et en séchant par tamponnements ainsi que dans les plis.</w:t>
      </w:r>
    </w:p>
    <w:p>
      <w:pPr>
        <w:numPr>
          <w:ilvl w:val="0"/>
          <w:numId w:val="228"/>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crèmes protectrices peuvent être utilisées mais pas systématiquement. Préférer leur usage au dernier change avant le coucher. Les crèmes parfumées et le talc sont à éviter car ils sont irritants et peuvent favoriser la macération.</w:t>
      </w:r>
    </w:p>
    <w:p>
      <w:pPr>
        <w:spacing w:before="0" w:after="160" w:line="254"/>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30"/>
        </w:numPr>
        <w:spacing w:before="140" w:after="120" w:line="240"/>
        <w:ind w:right="0" w:left="2268"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6.5.2. L’hyperthermie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L’hyperthermie, ou fièvre, </w:t>
      </w:r>
      <w:r>
        <w:rPr>
          <w:rFonts w:ascii="Times New Roman" w:hAnsi="Times New Roman" w:cs="Times New Roman" w:eastAsia="Times New Roman"/>
          <w:color w:val="000000"/>
          <w:spacing w:val="0"/>
          <w:position w:val="0"/>
          <w:sz w:val="22"/>
          <w:shd w:fill="auto" w:val="clear"/>
        </w:rPr>
        <w:t xml:space="preserve">est une réaction de l’organisme face à une agression comme une infection, par exemple. Chez le bébé, on peut rencontrer de fortes fièvres. Au-delà de 39,5 °C, il y a un risque de convulsions. Il est donc important, avant l’arrivée du pédiatre, de faire baisser cette température.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En pratique : conduite à tenir face à une forte fièvre</w:t>
      </w:r>
    </w:p>
    <w:p>
      <w:pPr>
        <w:numPr>
          <w:ilvl w:val="0"/>
          <w:numId w:val="23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Contrôler la température à l’aide d’un thermomètre électronique, rectal ou auriculaire.</w:t>
      </w:r>
    </w:p>
    <w:p>
      <w:pPr>
        <w:numPr>
          <w:ilvl w:val="0"/>
          <w:numId w:val="23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Découvrir le bébé et lui donner un bain 2 °C en dessous de sa température (exemple : le bébé a 39,7 °C, la température de l’eau du bain doit être de 37,7 °C). Ne pas trop le couvrir après le bain et vérifier la température de la pièce, qui doit être entre 19 et 20 °C. Plusieurs bains sont parfois nécessaires pour réguler la fièvre. Entre deux bains, des linges humides peuvent être appliqués sur le front, les bras et les jambes.</w:t>
      </w:r>
    </w:p>
    <w:p>
      <w:pPr>
        <w:numPr>
          <w:ilvl w:val="0"/>
          <w:numId w:val="23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Donner à boire régulièrement à l’enfant, car l’hyperthermie s’accompagne de fortes sudations et il y a un risque de déshydratation.</w:t>
      </w:r>
    </w:p>
    <w:p>
      <w:pPr>
        <w:numPr>
          <w:ilvl w:val="0"/>
          <w:numId w:val="23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Donner au bébé seulement des antipyrétiques de type paracétamol à la dose adaptée à son poids. Ne pas faire d’automédication avec des traitements précédemment prescrits par le pédiatre pour une affection antérieure.</w:t>
      </w:r>
    </w:p>
    <w:p>
      <w:pPr>
        <w:numPr>
          <w:ilvl w:val="0"/>
          <w:numId w:val="232"/>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Si le bébé présente des convulsions (tremblements, perte de connaissance, révulsion oculaire), il est important de le placer en position latérale de sécurité et d’appeler les secours d’urgence (15), qui se déplaceront avec un médecin.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34"/>
        </w:numPr>
        <w:spacing w:before="140" w:after="120" w:line="240"/>
        <w:ind w:right="0" w:left="2268"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6.5.3. La gastro-entérite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2"/>
          <w:shd w:fill="auto" w:val="clear"/>
        </w:rPr>
        <w:t xml:space="preserve">C’est une diarrhée aiguë d’au moins 3 selles liquides par jour depuis moins de 3 jours</w:t>
      </w:r>
      <w:r>
        <w:rPr>
          <w:rFonts w:ascii="Times New Roman" w:hAnsi="Times New Roman" w:cs="Times New Roman" w:eastAsia="Times New Roman"/>
          <w:color w:val="000000"/>
          <w:spacing w:val="0"/>
          <w:position w:val="0"/>
          <w:sz w:val="22"/>
          <w:shd w:fill="auto" w:val="clear"/>
        </w:rPr>
        <w:t xml:space="preserve">. Il peut y avoir d’autres troubles digestifs (nausées, vomissements, douleurs abdominales) mais aussi de la fièvre. Elle peut être causée par une infection du tube digestif ou provoquée par des antibiotiques ou une autre pathologie (otite, poussée dentaire, infection urinaire…).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Chez le bébé, le principal risque est la déshydratation, qui est rapide. Le pédiatre prescrit un régime alimentaire spécifique et l’infection est régulée en 3 à 6 jours.</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En pratique : conduite à tenir face à une diarrhée </w:t>
      </w:r>
      <w:r>
        <w:rPr>
          <w:rFonts w:ascii="Times New Roman" w:hAnsi="Times New Roman" w:cs="Times New Roman" w:eastAsia="Times New Roman"/>
          <w:color w:val="auto"/>
          <w:spacing w:val="0"/>
          <w:position w:val="0"/>
          <w:sz w:val="22"/>
          <w:shd w:fill="auto" w:val="clear"/>
        </w:rPr>
        <w:t xml:space="preserve">aiguë</w:t>
      </w:r>
      <w:r>
        <w:rPr>
          <w:rFonts w:ascii="Times New Roman" w:hAnsi="Times New Roman" w:cs="Times New Roman" w:eastAsia="Times New Roman"/>
          <w:color w:val="000000"/>
          <w:spacing w:val="0"/>
          <w:position w:val="0"/>
          <w:sz w:val="22"/>
          <w:shd w:fill="auto" w:val="clear"/>
        </w:rPr>
        <w:t xml:space="preserve"> chez le bébé</w:t>
      </w:r>
    </w:p>
    <w:p>
      <w:pPr>
        <w:numPr>
          <w:ilvl w:val="0"/>
          <w:numId w:val="23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w:t>
      </w:r>
      <w:r>
        <w:rPr>
          <w:rFonts w:ascii="Times New Roman" w:hAnsi="Times New Roman" w:cs="Times New Roman" w:eastAsia="Times New Roman"/>
          <w:color w:val="000000"/>
          <w:spacing w:val="0"/>
          <w:position w:val="0"/>
          <w:sz w:val="22"/>
          <w:shd w:fill="auto" w:val="clear"/>
          <w:vertAlign w:val="superscript"/>
        </w:rPr>
        <w:t xml:space="preserve">er</w:t>
      </w:r>
      <w:r>
        <w:rPr>
          <w:rFonts w:ascii="Times New Roman" w:hAnsi="Times New Roman" w:cs="Times New Roman" w:eastAsia="Times New Roman"/>
          <w:color w:val="000000"/>
          <w:spacing w:val="0"/>
          <w:position w:val="0"/>
          <w:sz w:val="22"/>
          <w:shd w:fill="auto" w:val="clear"/>
        </w:rPr>
        <w:t xml:space="preserve"> réflexe : la réhydratation, en donnant souvent à boire au bébé. Des solutions de réhydratation sont vendues en pharmacie et compensent parfaitement les pertes liées à la diarrhée.</w:t>
      </w:r>
    </w:p>
    <w:p>
      <w:pPr>
        <w:numPr>
          <w:ilvl w:val="0"/>
          <w:numId w:val="236"/>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Si le bébé a de la fièvre, la faire baisser avec les mesures précédemment énoncées.</w:t>
      </w:r>
    </w:p>
    <w:p>
      <w:pPr>
        <w:numPr>
          <w:ilvl w:val="0"/>
          <w:numId w:val="236"/>
        </w:numPr>
        <w:spacing w:before="0" w:after="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Consulter le pédiatre qui, en fonction du tableau clinique, peut hospitaliser l’enfant s’il est très déshydraté. Sinon, avec la mise en place de mesures hygiénodiététiques, la surveillance de la température et du tonus de l’enfant, ce trouble se règle en 3 à </w:t>
      </w:r>
      <w:r>
        <w:rPr>
          <w:rFonts w:ascii="Times New Roman" w:hAnsi="Times New Roman" w:cs="Times New Roman" w:eastAsia="Times New Roman"/>
          <w:color w:val="auto"/>
          <w:spacing w:val="0"/>
          <w:position w:val="0"/>
          <w:sz w:val="22"/>
          <w:shd w:fill="auto" w:val="clear"/>
        </w:rPr>
        <w:t xml:space="preserve">6 jours.</w:t>
      </w:r>
    </w:p>
    <w:p>
      <w:pPr>
        <w:spacing w:before="0" w:after="0" w:line="276"/>
        <w:ind w:right="0" w:left="0" w:firstLine="0"/>
        <w:jc w:val="both"/>
        <w:rPr>
          <w:rFonts w:ascii="Times New Roman" w:hAnsi="Times New Roman" w:cs="Times New Roman" w:eastAsia="Times New Roman"/>
          <w:b/>
          <w:color w:val="002060"/>
          <w:spacing w:val="0"/>
          <w:position w:val="0"/>
          <w:sz w:val="28"/>
          <w:shd w:fill="auto" w:val="clear"/>
        </w:rPr>
      </w:pPr>
    </w:p>
    <w:p>
      <w:pPr>
        <w:keepNext w:val="true"/>
        <w:numPr>
          <w:ilvl w:val="0"/>
          <w:numId w:val="238"/>
        </w:numPr>
        <w:spacing w:before="200" w:after="120" w:line="240"/>
        <w:ind w:right="0" w:left="1814" w:firstLine="0"/>
        <w:jc w:val="left"/>
        <w:rPr>
          <w:rFonts w:ascii="Times New Roman" w:hAnsi="Times New Roman" w:cs="Times New Roman" w:eastAsia="Times New Roman"/>
          <w:b/>
          <w:color w:val="002060"/>
          <w:spacing w:val="0"/>
          <w:position w:val="0"/>
          <w:sz w:val="28"/>
          <w:shd w:fill="auto" w:val="clear"/>
        </w:rPr>
      </w:pPr>
      <w:r>
        <w:rPr>
          <w:rFonts w:ascii="Times New Roman" w:hAnsi="Times New Roman" w:cs="Times New Roman" w:eastAsia="Times New Roman"/>
          <w:b/>
          <w:color w:val="2F5496"/>
          <w:spacing w:val="0"/>
          <w:position w:val="0"/>
          <w:sz w:val="28"/>
          <w:shd w:fill="auto" w:val="clear"/>
        </w:rPr>
        <w:t xml:space="preserve">6.6. La vaccination chez le bébé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Durant les premières années de sa vie, l’enfant reçoit plusieurs vaccins.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La vaccination est un procédé permettant au corps humain de développer des anticorps contre certains virus, bactéries et toxines. En effet, un microbe inactif ou une substance sont inoculés. La maladie ne se développe pas mais le système immunitaire réagit en fabriquant des anticorps spécifiques et garde en mémoire le mécanisme de défense. De cette manière, si l’individu est en contact avec le microbe actif, son corps se défendra, détruira ces microbes et il n’y aura pas d’apparition de la maladie.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40"/>
        </w:numPr>
        <w:spacing w:before="140" w:after="120" w:line="240"/>
        <w:ind w:right="0" w:left="2268"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6.6.1. Vaccin contre la diphtérie, le tétanos et la poliomyélite (DTP)</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 vaccin est obligatoire, souvent couplé avec le vaccin contre la coqueluche et l’</w:t>
      </w:r>
      <w:r>
        <w:rPr>
          <w:rFonts w:ascii="Times New Roman" w:hAnsi="Times New Roman" w:cs="Times New Roman" w:eastAsia="Times New Roman"/>
          <w:i/>
          <w:color w:val="000000"/>
          <w:spacing w:val="0"/>
          <w:position w:val="0"/>
          <w:sz w:val="22"/>
          <w:shd w:fill="auto" w:val="clear"/>
        </w:rPr>
        <w:t xml:space="preserve">Haemophilus</w:t>
      </w:r>
      <w:r>
        <w:rPr>
          <w:rFonts w:ascii="Times New Roman" w:hAnsi="Times New Roman" w:cs="Times New Roman" w:eastAsia="Times New Roman"/>
          <w:color w:val="000000"/>
          <w:spacing w:val="0"/>
          <w:position w:val="0"/>
          <w:sz w:val="22"/>
          <w:shd w:fill="auto" w:val="clear"/>
        </w:rPr>
        <w:t xml:space="preserve"> B. À partir de 2 mois de vie, on réalise 3 injections pour le DTP, espacées d’un mois, un rappel l’année suivante puis une injection tous les 5 ans.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C’est une injection sous-cutanée ou intramusculaire qui peut être réalisée dans la cuisse, le bras, la fesse ou l’épaule. Le bébé peut faire une poussée de fièvre, du paracétamol lui sera alors administré ainsi que les mesures pour faire baisser la température précédemment citées. Une rougeur au niveau du site d’injection peut apparaître, elle est bénigne.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42"/>
        </w:numPr>
        <w:spacing w:before="140" w:after="120" w:line="240"/>
        <w:ind w:right="0" w:left="2268"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6.6.2. Le vaccin antituberculeux, ou BCG</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 vaccin est obligatoire pour l’entrée à l’école de l’enfant avant 6 ans. Il est réalisé dans les premiers mois de vie du nourrisson si le mode de garde choisi par les parents est en collectivité. Un pansement est appliqué après l’injection, l’enfant ne doit pas être baigné et doit le garder 24 heures. Au niveau du site d’injection, environ 3 semaines après la vaccination, des boutons rouges apparaissent et durent quelques mois. Il n’y a aucun soin à réaliser face à cette réaction.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44"/>
        </w:numPr>
        <w:spacing w:before="140" w:after="120" w:line="240"/>
        <w:ind w:right="0" w:left="2268"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6.6.3. Le vaccin contre la rougeole, les oreillons et la rubéole (ROR)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 vaccin est fortement recommandé mais pas obligatoire. L’injection est réalisée à 1 an puis une seconde injection entre 3 et 6 ans. Dans les 8 à 15 jours suivants, l’enfant peut présenter de la fièvre, une toux, des douleurs articulaires, une éruption cutanée ou une augmentation de la taille des ganglions.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46"/>
        </w:numPr>
        <w:spacing w:before="140" w:after="120" w:line="240"/>
        <w:ind w:right="0" w:left="2268"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6.6.4. Le vaccin contre la coqueluche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est pratiqué en même temps que le DTP jusqu’au 1 an de l’enfant, puis un rappel est conseillé entre 11 et 13 ans. Pour les premières vaccinations, de la fièvre peut survenir chez l’enfant.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48"/>
        </w:numPr>
        <w:spacing w:before="140" w:after="120" w:line="240"/>
        <w:ind w:right="0" w:left="2268"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6.6.5. Le vaccin contre l’</w:t>
      </w:r>
      <w:r>
        <w:rPr>
          <w:rFonts w:ascii="Times New Roman" w:hAnsi="Times New Roman" w:cs="Times New Roman" w:eastAsia="Times New Roman"/>
          <w:i/>
          <w:color w:val="2F5496"/>
          <w:spacing w:val="0"/>
          <w:position w:val="0"/>
          <w:sz w:val="24"/>
          <w:shd w:fill="auto" w:val="clear"/>
        </w:rPr>
        <w:t xml:space="preserve">Haemophilus</w:t>
      </w:r>
      <w:r>
        <w:rPr>
          <w:rFonts w:ascii="Times New Roman" w:hAnsi="Times New Roman" w:cs="Times New Roman" w:eastAsia="Times New Roman"/>
          <w:color w:val="2F5496"/>
          <w:spacing w:val="0"/>
          <w:position w:val="0"/>
          <w:sz w:val="24"/>
          <w:shd w:fill="auto" w:val="clear"/>
        </w:rPr>
        <w:t xml:space="preserve"> B</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 vaccin est pratiqué en même temps que le DTP. Il ne comporte pas d’effets secondaires et protège l’enfant de maladies telles que la méningite et l’épiglottite.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50"/>
        </w:numPr>
        <w:spacing w:before="140" w:after="120" w:line="240"/>
        <w:ind w:right="0" w:left="2268"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6.6.6. Le vaccin contre l’hépatite B</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 vaccin n’est pas obligatoire. Les 3 injections se font en même temps que le DTP, à la 1</w:t>
      </w:r>
      <w:r>
        <w:rPr>
          <w:rFonts w:ascii="Times New Roman" w:hAnsi="Times New Roman" w:cs="Times New Roman" w:eastAsia="Times New Roman"/>
          <w:color w:val="000000"/>
          <w:spacing w:val="0"/>
          <w:position w:val="0"/>
          <w:sz w:val="22"/>
          <w:shd w:fill="auto" w:val="clear"/>
          <w:vertAlign w:val="superscript"/>
        </w:rPr>
        <w:t xml:space="preserve">re</w:t>
      </w:r>
      <w:r>
        <w:rPr>
          <w:rFonts w:ascii="Times New Roman" w:hAnsi="Times New Roman" w:cs="Times New Roman" w:eastAsia="Times New Roman"/>
          <w:color w:val="000000"/>
          <w:spacing w:val="0"/>
          <w:position w:val="0"/>
          <w:sz w:val="22"/>
          <w:shd w:fill="auto" w:val="clear"/>
        </w:rPr>
        <w:t xml:space="preserve">, 3</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et 4</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injection ou en dehors de celui-ci.</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Si la vaccination contre l’hépatite B n’a pas été réalisée durant l’enfance, la série des 3 injections peut se faire à tout âge. L’iatrogénie de ce vaccin et le développement d’affections neurologiques n’a pas été établie avec certitude.</w:t>
      </w:r>
    </w:p>
    <w:p>
      <w:pPr>
        <w:spacing w:before="0" w:after="160" w:line="25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53"/>
        </w:numPr>
        <w:spacing w:before="140" w:after="120" w:line="240"/>
        <w:ind w:right="0" w:left="2268"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2F5496"/>
          <w:spacing w:val="0"/>
          <w:position w:val="0"/>
          <w:sz w:val="24"/>
          <w:shd w:fill="auto" w:val="clear"/>
        </w:rPr>
        <w:t xml:space="preserve">6.6.7. Les autres vaccins infantiles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On retrouve le vaccin contre la grippe pour les enfants atteints de maladies chroniques ou fragiles. La typhoïde et l’hépatite A peuvent être réalisés si des séjours à l’étranger sont réalisés.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les enfants vivant en collectivité, la vaccination contre le pneumocoque ou la méningite peut aussi être réalisée en période d’épidémie ou de séjours à l’étranger.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Plus récemment, le vaccin contre la varicelle a été proposé, dans certains cas.</w:t>
      </w:r>
    </w:p>
    <w:p>
      <w:pPr>
        <w:spacing w:before="0" w:after="0" w:line="276"/>
        <w:ind w:right="0" w:left="0" w:firstLine="0"/>
        <w:jc w:val="both"/>
        <w:rPr>
          <w:rFonts w:ascii="Times New Roman" w:hAnsi="Times New Roman" w:cs="Times New Roman" w:eastAsia="Times New Roman"/>
          <w:b/>
          <w:color w:val="002060"/>
          <w:spacing w:val="0"/>
          <w:position w:val="0"/>
          <w:sz w:val="28"/>
          <w:shd w:fill="auto" w:val="clear"/>
        </w:rPr>
      </w:pPr>
    </w:p>
    <w:p>
      <w:pPr>
        <w:keepNext w:val="true"/>
        <w:numPr>
          <w:ilvl w:val="0"/>
          <w:numId w:val="255"/>
        </w:numPr>
        <w:spacing w:before="200" w:after="120" w:line="240"/>
        <w:ind w:right="0" w:left="1871" w:firstLine="0"/>
        <w:jc w:val="left"/>
        <w:rPr>
          <w:rFonts w:ascii="Times New Roman" w:hAnsi="Times New Roman" w:cs="Times New Roman" w:eastAsia="Times New Roman"/>
          <w:b/>
          <w:color w:val="002060"/>
          <w:spacing w:val="0"/>
          <w:position w:val="0"/>
          <w:sz w:val="28"/>
          <w:shd w:fill="auto" w:val="clear"/>
        </w:rPr>
      </w:pPr>
      <w:r>
        <w:rPr>
          <w:rFonts w:ascii="Times New Roman" w:hAnsi="Times New Roman" w:cs="Times New Roman" w:eastAsia="Times New Roman"/>
          <w:b/>
          <w:color w:val="2F5496"/>
          <w:spacing w:val="0"/>
          <w:position w:val="0"/>
          <w:sz w:val="28"/>
          <w:shd w:fill="auto" w:val="clear"/>
        </w:rPr>
        <w:t xml:space="preserve">6.7. Les soins du nourrisson</w:t>
      </w:r>
    </w:p>
    <w:p>
      <w:pPr>
        <w:keepNext w:val="true"/>
        <w:numPr>
          <w:ilvl w:val="0"/>
          <w:numId w:val="255"/>
        </w:numPr>
        <w:spacing w:before="140" w:after="120" w:line="240"/>
        <w:ind w:right="0" w:left="2665"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6.7.1. Le bain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Généralement, le bébé apprécie le moment du bain. C’est un moment calme, d’échange et il retrouve l’environnement qu’il a connu durant la gestation dans le liquide amniotique du ventre de sa mère.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Avant tout, il faut s’assurer d’avoir tout le matériel à portée de main (du savon doux adapté aux bébés, une serviette de bain, une couche et un thermomètre pour le bain).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bain est donné dans une baignoire en plastique adaptée aux bébés, avec environ 12 centimètres d’eau. La température de l’eau doit être de 37 °C, soit la température du corps humain. Il est préférable de remplir d’abord la baignoire et de contrôler sa température avec un thermomètre et le coude car, lors du remplissage, la température de l’eau peut varier et il y a un risque de brûlure pour le bébé.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Lors du déshabillage, le bébé pleure. C’est normal, il ressent une sensation de vulnérabilité qui s’estompe lorsqu’il est dans l’eau. Si la couche est souillée, il est préférable de lui nettoyer les fesses pour que l’eau du bain reste propre.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Durant le bain, le bébé ne doit pas être quitté, même pour une seconde. Pour le maintenir correctement dans le bain, il faut passer l’avant-bras sous sa tête et la main sous son aisselle et, avec l’autre main, le nettoyer.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Une fois le bain terminé, le sécher soigneusement par tamponnements en n’oubliant pas les plis cutanés. Ces zones peuvent macérer avec l’humidité et des rougeurs, voire des mycoses, peuvent apparaître.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moment du bain peut être variable et il n’est pas nécessaire de baigner le bébé tous les jours, tous les 2 ou 3 jours est suffisant.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58"/>
        </w:numPr>
        <w:spacing w:before="140" w:after="120" w:line="240"/>
        <w:ind w:right="0" w:left="2665"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6.7.2. Les soins du cordon et du nombril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soin du cordon doit être effectué tous les jours avec un Coton-Tige imbibé d’eau tiède. Il faut passer soigneusement le Coton-Tige autour du cordon et sécher avec l’autre extrémité. L’opération doit être renouvelée après le bain.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ne faut pas tirer sur le cordon s’il est partiellement détaché, il tombera seul quand le nombril sera cicatrisé, entre le 5</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et le 20</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jour après la naissance.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 saignement important, un écoulement malodorant, purulent, une rougeur et un </w:t>
      </w:r>
      <w:r>
        <w:rPr>
          <w:rFonts w:ascii="Times New Roman" w:hAnsi="Times New Roman" w:cs="Times New Roman" w:eastAsia="Times New Roman"/>
          <w:color w:val="000000"/>
          <w:spacing w:val="0"/>
          <w:position w:val="0"/>
          <w:sz w:val="22"/>
          <w:shd w:fill="auto" w:val="clear"/>
        </w:rPr>
        <w:t xml:space="preserve">œd</w:t>
      </w:r>
      <w:r>
        <w:rPr>
          <w:rFonts w:ascii="Times New Roman" w:hAnsi="Times New Roman" w:cs="Times New Roman" w:eastAsia="Times New Roman"/>
          <w:color w:val="000000"/>
          <w:spacing w:val="0"/>
          <w:position w:val="0"/>
          <w:sz w:val="22"/>
          <w:shd w:fill="auto" w:val="clear"/>
        </w:rPr>
        <w:t xml:space="preserve">ème péri-ombilical sont les signes d’une infection : le pédiatre doit être consulté, il pourra prescrire un antibiotique local à appliquer.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60"/>
        </w:numPr>
        <w:spacing w:before="140" w:after="120" w:line="240"/>
        <w:ind w:right="0" w:left="2665"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6.7.3. La toilette intime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Chez le garçon, nettoyer le pénis et le scrotum avec de l’eau tiède et un savon au pH neutre. Le prépuce n’est pas décollé, il ne faut pas forcer pour le nettoyer. Il se décolle petit à petit et des cellules blanchâtres, le smegma, peuvent sortir au bout du prépuce. Il ne faut pas essayer de les enlever, seulement les essuyer délicatement.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Chez la fille, il est important de nettoyer la partie intime de l’avant vers l’arrière en écartant les grandes lèvres. Au niveau des petites lèvres, il y a du mucus qui protège les organes des bactéries, il ne faut pas l’enlever.</w:t>
      </w:r>
    </w:p>
    <w:p>
      <w:pPr>
        <w:keepNext w:val="true"/>
        <w:numPr>
          <w:ilvl w:val="0"/>
          <w:numId w:val="262"/>
        </w:numPr>
        <w:spacing w:before="140" w:after="120" w:line="240"/>
        <w:ind w:right="0" w:left="2665"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6.7.4. La toilette des yeux</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nettoyage des yeux s’effectue avec une compresse humide propre, en allant du coin interne de l’</w:t>
      </w:r>
      <w:r>
        <w:rPr>
          <w:rFonts w:ascii="Times New Roman" w:hAnsi="Times New Roman" w:cs="Times New Roman" w:eastAsia="Times New Roman"/>
          <w:color w:val="000000"/>
          <w:spacing w:val="0"/>
          <w:position w:val="0"/>
          <w:sz w:val="22"/>
          <w:shd w:fill="auto" w:val="clear"/>
        </w:rPr>
        <w:t xml:space="preserve">œil vers le coin externe. Il est n</w:t>
      </w:r>
      <w:r>
        <w:rPr>
          <w:rFonts w:ascii="Times New Roman" w:hAnsi="Times New Roman" w:cs="Times New Roman" w:eastAsia="Times New Roman"/>
          <w:color w:val="000000"/>
          <w:spacing w:val="0"/>
          <w:position w:val="0"/>
          <w:sz w:val="22"/>
          <w:shd w:fill="auto" w:val="clear"/>
        </w:rPr>
        <w:t xml:space="preserve">écessaire de changer d’endroit sur la compresse pour chaque </w:t>
      </w:r>
      <w:r>
        <w:rPr>
          <w:rFonts w:ascii="Times New Roman" w:hAnsi="Times New Roman" w:cs="Times New Roman" w:eastAsia="Times New Roman"/>
          <w:color w:val="000000"/>
          <w:spacing w:val="0"/>
          <w:position w:val="0"/>
          <w:sz w:val="22"/>
          <w:shd w:fill="auto" w:val="clear"/>
        </w:rPr>
        <w:t xml:space="preserve">œil, car des bact</w:t>
      </w:r>
      <w:r>
        <w:rPr>
          <w:rFonts w:ascii="Times New Roman" w:hAnsi="Times New Roman" w:cs="Times New Roman" w:eastAsia="Times New Roman"/>
          <w:color w:val="000000"/>
          <w:spacing w:val="0"/>
          <w:position w:val="0"/>
          <w:sz w:val="22"/>
          <w:shd w:fill="auto" w:val="clear"/>
        </w:rPr>
        <w:t xml:space="preserve">éries peuvent contaminer l’autre </w:t>
      </w:r>
      <w:r>
        <w:rPr>
          <w:rFonts w:ascii="Times New Roman" w:hAnsi="Times New Roman" w:cs="Times New Roman" w:eastAsia="Times New Roman"/>
          <w:color w:val="000000"/>
          <w:spacing w:val="0"/>
          <w:position w:val="0"/>
          <w:sz w:val="22"/>
          <w:shd w:fill="auto" w:val="clear"/>
        </w:rPr>
        <w:t xml:space="preserve">œil si l’un des deux est infect</w:t>
      </w:r>
      <w:r>
        <w:rPr>
          <w:rFonts w:ascii="Times New Roman" w:hAnsi="Times New Roman" w:cs="Times New Roman" w:eastAsia="Times New Roman"/>
          <w:color w:val="000000"/>
          <w:spacing w:val="0"/>
          <w:position w:val="0"/>
          <w:sz w:val="22"/>
          <w:shd w:fill="auto" w:val="clear"/>
        </w:rPr>
        <w:t xml:space="preserve">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 écoulement purulent, une rougeur ou un </w:t>
      </w:r>
      <w:r>
        <w:rPr>
          <w:rFonts w:ascii="Times New Roman" w:hAnsi="Times New Roman" w:cs="Times New Roman" w:eastAsia="Times New Roman"/>
          <w:color w:val="000000"/>
          <w:spacing w:val="0"/>
          <w:position w:val="0"/>
          <w:sz w:val="22"/>
          <w:shd w:fill="auto" w:val="clear"/>
        </w:rPr>
        <w:t xml:space="preserve">œd</w:t>
      </w:r>
      <w:r>
        <w:rPr>
          <w:rFonts w:ascii="Times New Roman" w:hAnsi="Times New Roman" w:cs="Times New Roman" w:eastAsia="Times New Roman"/>
          <w:color w:val="000000"/>
          <w:spacing w:val="0"/>
          <w:position w:val="0"/>
          <w:sz w:val="22"/>
          <w:shd w:fill="auto" w:val="clear"/>
        </w:rPr>
        <w:t xml:space="preserve">ème doivent motiver une consultation avec le pédiatre. Des antibiotiques locaux peuvent être prescrits s’il s’agit d’une conjonctivite. C’est une affection assez fréquente chez les bébés et les jeunes enfants.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64"/>
        </w:numPr>
        <w:spacing w:before="140" w:after="120" w:line="240"/>
        <w:ind w:right="0" w:left="2665"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6.7.5. Le lavage du nez</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Pour prévenir les infections, il est important de nettoyer régulièrement le nez du bébé, seulement avec une solution saline qui décongestionne et fluidifie les sécrétions. L’usage systématique d’un mouche-bébé ou d’une poire nasale est trop irritant.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bébé est placé sur le dos et, avec un compte-goutte d’environ 1 millilitre, la solution saline est instillée dans le nez. Si des sécrétions restent collées, on peut les retirer avec un </w:t>
      </w:r>
      <w:r>
        <w:rPr>
          <w:rFonts w:ascii="Times New Roman" w:hAnsi="Times New Roman" w:cs="Times New Roman" w:eastAsia="Times New Roman"/>
          <w:color w:val="auto"/>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 xml:space="preserve">oton-</w:t>
      </w:r>
      <w:r>
        <w:rPr>
          <w:rFonts w:ascii="Times New Roman" w:hAnsi="Times New Roman" w:cs="Times New Roman" w:eastAsia="Times New Roman"/>
          <w:color w:val="auto"/>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ige humide. Si cela ne suffit pas, alors l’usage du mouche-bébé ou de la poire nasale est indiqué.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Si le bébé est enrhumé et a le nez bouché, il est important de laver son nez avant le coucher, avant de manger ou de dormir. Lors d’un long bain ou d’une douche prolongée, la vapeur d’eau permet de décongestionner et de fluidifier les sécrétions.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66"/>
        </w:numPr>
        <w:spacing w:before="140" w:after="120" w:line="240"/>
        <w:ind w:right="0" w:left="2665"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6.7.6. Les cheveux et les ongles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En ce qui concerne le shampooing, 1 à 2 fois par semaine suffit. Il peut être réalisé avec du shampooing spécial bébé ou du savon doux adapté. Une séborrhée de la tête (croûtes jaunâtres) peut justifier des shampooings plus réguliers et, pour faire disparaître ces croûtes, on peut appliquer de l’huile d’amande douce ou d’olive et lui brosser, plus tard, le cuir chevelu.</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Chez un nouveau-né, les ongles sont collés à la peau. Pour faciliter le décollement, un massage à la sortie du bain est efficace. Il faut attendre qu’ils soient suffisamment longs pour les couper et choisir un moment où le bébé est calme. Ce soin est à pratiquer régulièrement pour l’y habituer. Pour éviter les égratignures, les ongles des mains sont coupés de </w:t>
      </w:r>
      <w:r>
        <w:rPr>
          <w:rFonts w:ascii="Times New Roman" w:hAnsi="Times New Roman" w:cs="Times New Roman" w:eastAsia="Times New Roman"/>
          <w:color w:val="auto"/>
          <w:spacing w:val="0"/>
          <w:position w:val="0"/>
          <w:sz w:val="22"/>
          <w:shd w:fill="auto" w:val="clear"/>
        </w:rPr>
        <w:t xml:space="preserve">façon</w:t>
      </w:r>
      <w:r>
        <w:rPr>
          <w:rFonts w:ascii="Times New Roman" w:hAnsi="Times New Roman" w:cs="Times New Roman" w:eastAsia="Times New Roman"/>
          <w:color w:val="000000"/>
          <w:spacing w:val="0"/>
          <w:position w:val="0"/>
          <w:sz w:val="22"/>
          <w:shd w:fill="auto" w:val="clear"/>
        </w:rPr>
        <w:t xml:space="preserve"> plutôt arrondie. Pour les orteils, on préférera une coupe droite en laissant les coins assez longs pour éviter qu’ils s’incarnent.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268"/>
        </w:numPr>
        <w:spacing w:before="140" w:after="120" w:line="240"/>
        <w:ind w:right="0" w:left="2665" w:firstLine="0"/>
        <w:jc w:val="left"/>
        <w:rPr>
          <w:rFonts w:ascii="Times New Roman" w:hAnsi="Times New Roman" w:cs="Times New Roman" w:eastAsia="Times New Roman"/>
          <w:b/>
          <w:color w:val="A84A9D"/>
          <w:spacing w:val="0"/>
          <w:position w:val="0"/>
          <w:sz w:val="28"/>
          <w:shd w:fill="auto" w:val="clear"/>
        </w:rPr>
      </w:pPr>
      <w:r>
        <w:rPr>
          <w:rFonts w:ascii="Times New Roman" w:hAnsi="Times New Roman" w:cs="Times New Roman" w:eastAsia="Times New Roman"/>
          <w:color w:val="2F5496"/>
          <w:spacing w:val="0"/>
          <w:position w:val="0"/>
          <w:sz w:val="24"/>
          <w:shd w:fill="auto" w:val="clear"/>
        </w:rPr>
        <w:t xml:space="preserve">6.7.7. Ce qu’il faut éviter</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talc, qui était autrefois très utilisé, n’est plus recommandé, car il est souvent à l’origine des problèmes qllergiques et respiratoires.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produits et les laits parfumés, les bains moussants, les savons et les shampooings pour adultes, qui irritent la peau fragile et les muqueuses du nourrisson car ils contiennent beaucoup d’additifs, de produits chimiques.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Coton-Tige pour la toilette des yeux, des oreilles et du nez est à utiliser avec précaution car il repousse les sécrétions et peut blesser le bébé.</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Les lingettes humides jetables provoquent souvent des irritations. À utiliser seulement lors de l’absence de point d’eau et de savon, lors de voyages, par exemple.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Une exposition solaire en dehors des heures recommandées. Le soleil est le plus fort entre 11 heures et 16 heures. Durant cette période, il est préférable de ne pas exposer le bébé à ces forts rayons UV. Dans tous les cas, le bébé doit être préférablement placé à l’ombre et muni d’un chapeau à larges bords. L’usage de la crème solaire est indiqué sur toutes les parties du corps du bébé dépourvues de vêtement. Les recommandations ont changé et on peut appliquer de la crème solaire à un bébé de moins de 6 mois.</w:t>
      </w:r>
    </w:p>
    <w:p>
      <w:pPr>
        <w:spacing w:before="0" w:after="160" w:line="25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both"/>
        <w:rPr>
          <w:rFonts w:ascii="Times New Roman" w:hAnsi="Times New Roman" w:cs="Times New Roman" w:eastAsia="Times New Roman"/>
          <w:b/>
          <w:color w:val="2F5496"/>
          <w:spacing w:val="0"/>
          <w:position w:val="0"/>
          <w:sz w:val="24"/>
          <w:shd w:fill="auto" w:val="clear"/>
        </w:rPr>
      </w:pPr>
      <w:r>
        <w:rPr>
          <w:rFonts w:ascii="Times New Roman" w:hAnsi="Times New Roman" w:cs="Times New Roman" w:eastAsia="Times New Roman"/>
          <w:b/>
          <w:color w:val="2F5496"/>
          <w:spacing w:val="0"/>
          <w:position w:val="0"/>
          <w:sz w:val="24"/>
          <w:shd w:fill="auto" w:val="clear"/>
        </w:rPr>
        <w:t xml:space="preserve">Éléments de synthèse</w:t>
      </w: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Les principaux repères chronologiques</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Ils sont retrouvés dans les examens du carnet de santé (4</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9</w:t>
      </w:r>
      <w:r>
        <w:rPr>
          <w:rFonts w:ascii="Times New Roman" w:hAnsi="Times New Roman" w:cs="Times New Roman" w:eastAsia="Times New Roman"/>
          <w:color w:val="000000"/>
          <w:spacing w:val="0"/>
          <w:position w:val="0"/>
          <w:sz w:val="22"/>
          <w:shd w:fill="auto" w:val="clear"/>
          <w:vertAlign w:val="superscript"/>
        </w:rPr>
        <w:t xml:space="preserve">e </w:t>
      </w:r>
      <w:r>
        <w:rPr>
          <w:rFonts w:ascii="Times New Roman" w:hAnsi="Times New Roman" w:cs="Times New Roman" w:eastAsia="Times New Roman"/>
          <w:color w:val="000000"/>
          <w:spacing w:val="0"/>
          <w:position w:val="0"/>
          <w:sz w:val="22"/>
          <w:shd w:fill="auto" w:val="clear"/>
        </w:rPr>
        <w:t xml:space="preserve">et 24</w:t>
      </w:r>
      <w:r>
        <w:rPr>
          <w:rFonts w:ascii="Times New Roman" w:hAnsi="Times New Roman" w:cs="Times New Roman" w:eastAsia="Times New Roman"/>
          <w:color w:val="000000"/>
          <w:spacing w:val="0"/>
          <w:position w:val="0"/>
          <w:sz w:val="22"/>
          <w:shd w:fill="auto" w:val="clear"/>
          <w:vertAlign w:val="superscript"/>
        </w:rPr>
        <w:t xml:space="preserve">e</w:t>
      </w:r>
      <w:r>
        <w:rPr>
          <w:rFonts w:ascii="Times New Roman" w:hAnsi="Times New Roman" w:cs="Times New Roman" w:eastAsia="Times New Roman"/>
          <w:color w:val="000000"/>
          <w:spacing w:val="0"/>
          <w:position w:val="0"/>
          <w:sz w:val="22"/>
          <w:shd w:fill="auto" w:val="clear"/>
        </w:rPr>
        <w:t xml:space="preserve"> mois) :</w:t>
      </w:r>
    </w:p>
    <w:p>
      <w:pPr>
        <w:numPr>
          <w:ilvl w:val="0"/>
          <w:numId w:val="2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 à 3 mois : sourire-réponse, suivi de l’objet dans les deux directions de l’espace, tenue de la tête, ouverture des mains ;</w:t>
      </w:r>
    </w:p>
    <w:p>
      <w:pPr>
        <w:numPr>
          <w:ilvl w:val="0"/>
          <w:numId w:val="2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 à 6 mois : intérêt pour les objets vers lesquels il tend la main, rire, gazouillis, l’évolution du tonus axial et périphérique se poursuit selon un gradient céphalo-caudal ;</w:t>
      </w:r>
    </w:p>
    <w:p>
      <w:pPr>
        <w:numPr>
          <w:ilvl w:val="0"/>
          <w:numId w:val="272"/>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 à 9 mois : le nourrisson porte les objets ou un gâteau à la bouche, manipule les cubes d’une main dans l’autre, prononce des bisyllabismes (ba-ba, ta-ta, pa-pa) et tient assis sans appui.</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Sur le plan comportemental, l’enfant quitte la période symbiotique, au cours de laquelle il ne se distingue pas de ce qui l’entoure, pour entrer dans la période diatique, où il se perçoit comme distinct de l’environnement, et notamment de sa mère.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commence à reconnaître son nom et tourne la tête quand on l’appelle.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L’enfant est timide avec les inconnus, par exemple l’examinateur (notion d’angoisse de l’étranger) et supporte mal la séparation avec sa mère.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Il s’attache souvent à un objet (bout de tissu, peluche…) dont l’odeur, la douceur et la chaleur rappellent certaines qualités maternelles et permettent de mieux tolérer la séparation, c’est « l’objet transitionnel ».</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Cependant, les expériences de séparation prolongée ou répétée sans substitut maternel stable peuvent conduire à un état dépressif grave ou « dépression anaclitique du nourrisson ».</w:t>
      </w:r>
    </w:p>
    <w:p>
      <w:pPr>
        <w:numPr>
          <w:ilvl w:val="0"/>
          <w:numId w:val="274"/>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9 à 12 mois : évolution de la pince pour saisir les petits objets ou la pièce de monnaie (8-10 mois : pince pouce-doigt, 10-13 mois : pince pouce-index).</w:t>
      </w:r>
    </w:p>
    <w:p>
      <w:pPr>
        <w:spacing w:before="0" w:after="0" w:line="276"/>
        <w:ind w:right="0" w:left="72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Notion de permanence de l’objet (acquise vers 10 mois) : l’enfant va chercher l’objet caché sous un tissu ou dans la main de l’examinateur, l’enfant tient debout contre un appui, il s’assoit et se met debout seul.</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compréhension verbale, plus encore que le langage, évolue. L’enfant comprend certaines séquences reliées à une situation vécue (« au revoir », « bravo », « donne ») et dit « papa », « maman » de façon dirigée. Il fait les marionnettes, « au revoir ».</w:t>
      </w:r>
    </w:p>
    <w:p>
      <w:pPr>
        <w:numPr>
          <w:ilvl w:val="0"/>
          <w:numId w:val="277"/>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12 à 18 mois : l’enfant marche avec aide puis seul ; le langage apparaît, d’abord sous la forme de mots séparés, « mot phrase » qui peut prendre plusieurs sens. Par exemple, « maman » peut désigner la personne mais aussi le sac ou les chaussures de maman.</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Les mots sont ensuite groupés deux à deux.</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Développement de l’autonomie dans certains gestes (boire au verre, utilisation de la cuillère…) et dans l’acquisition de la marche.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L’enfant découvre son corps : il aime regarder son image dans le miroir (stade du miroir de J. Lacan) et peut montrer son </w:t>
      </w:r>
      <w:r>
        <w:rPr>
          <w:rFonts w:ascii="Times New Roman" w:hAnsi="Times New Roman" w:cs="Times New Roman" w:eastAsia="Times New Roman"/>
          <w:color w:val="auto"/>
          <w:spacing w:val="0"/>
          <w:position w:val="0"/>
          <w:sz w:val="22"/>
          <w:shd w:fill="auto" w:val="clear"/>
        </w:rPr>
        <w:t xml:space="preserve">nez, sa bouche,</w:t>
      </w:r>
      <w:r>
        <w:rPr>
          <w:rFonts w:ascii="Times New Roman" w:hAnsi="Times New Roman" w:cs="Times New Roman" w:eastAsia="Times New Roman"/>
          <w:color w:val="000000"/>
          <w:spacing w:val="0"/>
          <w:position w:val="0"/>
          <w:sz w:val="22"/>
          <w:shd w:fill="auto" w:val="clear"/>
        </w:rPr>
        <w:t xml:space="preserve"> etc. à la demande.</w:t>
      </w:r>
    </w:p>
    <w:p>
      <w:pPr>
        <w:numPr>
          <w:ilvl w:val="0"/>
          <w:numId w:val="279"/>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18 mois à 2 ans : poursuite de l’acquisition de l’autonomie, suit des ordres simples, habileté accrue dans la réalisation de tours de cubes, comprend comment sortir la pastille de la bouteille en la retournant. Il imite ses parents à la maison.</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Pour atteindre son but, il passe progressivement de la solution empirique à la solution réfléchie. C’est la fonction « sémiotique », qui associe quelque chose de concret à un symbole.</w:t>
      </w:r>
    </w:p>
    <w:p>
      <w:pPr>
        <w:numPr>
          <w:ilvl w:val="0"/>
          <w:numId w:val="281"/>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 à 3 ans : l’enfant est maintenant très autonome dans ses déplacements, se déshabille seul et commence à enfiler les vêtements.</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Acquisition de la propreté de jour.</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Commence à utiliser un crayon.</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 langage s’enrichit et l’enfant fait de courtes phrases. Le « je » apparaît vers 3 ans.</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 fonction sémiotique avec l’accès aux symboles se renforce.</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Cela se traduit par l’imitation différée dans le jeu avec les poupées, les voitures et les jeux symboliques, comme l’avion représenté par deux bouts de bois croisés.</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L’affectivité, définie par le domaine des sentiments dans la relation à soi et aux autres, a été particulièrement étudiée par les psychanalystes.</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Plusieurs stades ont été définis en fonction de la zone « érogène » prédominante et de la fonction physiologique associée :</w:t>
      </w:r>
    </w:p>
    <w:p>
      <w:pPr>
        <w:numPr>
          <w:ilvl w:val="0"/>
          <w:numId w:val="28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entre 0 et 18 mois, c’est le stade oral. Le plaisir est lié à l’alimentation et à ce qui l’accompagne, les conflits s’expriment autour de la nourriture engloutie, refusée… ;</w:t>
      </w:r>
    </w:p>
    <w:p>
      <w:pPr>
        <w:numPr>
          <w:ilvl w:val="0"/>
          <w:numId w:val="283"/>
        </w:numPr>
        <w:spacing w:before="0" w:after="0" w:line="276"/>
        <w:ind w:right="0" w:left="720"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entre 18 mois et 3 ans, c’est le stade anal, qui symbolise la période d’éducation sphinctérienne avec ses plaisirs (celui de retenir ou d’expulser, d’être propre ou sale) et ses conflits avec l’entourage. Cette période est aussi celle de l’opposition de l’enfant face aux interdictions parentales qu’il découvre. Elle se traduit par le « non » et les colères parfois impressionnantes (se roule à terre, spasmes du sanglot…).</w:t>
      </w:r>
    </w:p>
    <w:p>
      <w:pPr>
        <w:spacing w:before="0" w:after="0" w:line="276"/>
        <w:ind w:right="0" w:left="0" w:firstLine="0"/>
        <w:jc w:val="both"/>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L’examen neurologique</w:t>
      </w:r>
    </w:p>
    <w:p>
      <w:pPr>
        <w:numPr>
          <w:ilvl w:val="0"/>
          <w:numId w:val="285"/>
        </w:numPr>
        <w:spacing w:before="0" w:after="0" w:line="276"/>
        <w:ind w:right="0" w:left="720" w:hanging="36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color w:val="000000"/>
          <w:spacing w:val="0"/>
          <w:position w:val="0"/>
          <w:sz w:val="22"/>
          <w:shd w:fill="auto" w:val="clear"/>
        </w:rPr>
        <w:t xml:space="preserve">Le maintien postural : tient-il sa tête, son tronc ? Résiste-t-il à une poussée latérale, à la pesanteur lors des man</w:t>
      </w:r>
      <w:r>
        <w:rPr>
          <w:rFonts w:ascii="Times New Roman" w:hAnsi="Times New Roman" w:cs="Times New Roman" w:eastAsia="Times New Roman"/>
          <w:color w:val="000000"/>
          <w:spacing w:val="0"/>
          <w:position w:val="0"/>
          <w:sz w:val="22"/>
          <w:shd w:fill="auto" w:val="clear"/>
        </w:rPr>
        <w:t xml:space="preserve">œuvres de suspension verticales ou lat</w:t>
      </w:r>
      <w:r>
        <w:rPr>
          <w:rFonts w:ascii="Times New Roman" w:hAnsi="Times New Roman" w:cs="Times New Roman" w:eastAsia="Times New Roman"/>
          <w:color w:val="000000"/>
          <w:spacing w:val="0"/>
          <w:position w:val="0"/>
          <w:sz w:val="22"/>
          <w:shd w:fill="auto" w:val="clear"/>
        </w:rPr>
        <w:t xml:space="preserve">érales (prise de l’enfant dans la main de l’examinateur en position ventrale, sur le côté droit puis gauche, sur le dos) ? </w:t>
      </w:r>
    </w:p>
    <w:p>
      <w:pPr>
        <w:numPr>
          <w:ilvl w:val="0"/>
          <w:numId w:val="285"/>
        </w:numPr>
        <w:spacing w:before="0" w:after="0" w:line="276"/>
        <w:ind w:right="0" w:left="720" w:hanging="36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color w:val="000000"/>
          <w:spacing w:val="0"/>
          <w:position w:val="0"/>
          <w:sz w:val="22"/>
          <w:shd w:fill="auto" w:val="clear"/>
        </w:rPr>
        <w:t xml:space="preserve">Se retourne-t-il dans son lit, tient-il assis, debout ? </w:t>
      </w:r>
    </w:p>
    <w:p>
      <w:pPr>
        <w:numPr>
          <w:ilvl w:val="0"/>
          <w:numId w:val="285"/>
        </w:numPr>
        <w:spacing w:before="0" w:after="0" w:line="276"/>
        <w:ind w:right="0" w:left="720" w:hanging="36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color w:val="000000"/>
          <w:spacing w:val="0"/>
          <w:position w:val="0"/>
          <w:sz w:val="22"/>
          <w:shd w:fill="auto" w:val="clear"/>
        </w:rPr>
        <w:t xml:space="preserve">Les membres sont-ils souples ou raides (il faut palper les tendons et les muscles au repos et lors de la mobilisation passive lente et rapide) ?</w:t>
      </w:r>
    </w:p>
    <w:p>
      <w:pPr>
        <w:numPr>
          <w:ilvl w:val="0"/>
          <w:numId w:val="285"/>
        </w:numPr>
        <w:spacing w:before="0" w:after="0" w:line="276"/>
        <w:ind w:right="0" w:left="720" w:hanging="36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color w:val="000000"/>
          <w:spacing w:val="0"/>
          <w:position w:val="0"/>
          <w:sz w:val="22"/>
          <w:shd w:fill="auto" w:val="clear"/>
        </w:rPr>
        <w:t xml:space="preserve">Quelle est l’évolution du périmètre crânien ? Y a-t-il un souffle intracrânien, l’enfant réagit-il au bruit, à la lumière ? Les réflexes ostéo-tendineux sont-ils présents ?</w:t>
      </w:r>
    </w:p>
    <w:p>
      <w:pPr>
        <w:numPr>
          <w:ilvl w:val="0"/>
          <w:numId w:val="285"/>
        </w:numPr>
        <w:spacing w:before="0" w:after="0" w:line="276"/>
        <w:ind w:right="0" w:left="720" w:hanging="36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color w:val="000000"/>
          <w:spacing w:val="0"/>
          <w:position w:val="0"/>
          <w:sz w:val="22"/>
          <w:shd w:fill="auto" w:val="clear"/>
        </w:rPr>
        <w:t xml:space="preserve">Enfin, il ne faut pas oublier l’examen général et en particulier la recherche d’une hépatomégalie ou d’une splénomégalie.</w:t>
      </w:r>
    </w:p>
    <w:p>
      <w:pPr>
        <w:spacing w:before="0" w:after="0" w:line="276"/>
        <w:ind w:right="0" w:left="0" w:firstLine="0"/>
        <w:jc w:val="both"/>
        <w:rPr>
          <w:rFonts w:ascii="Times New Roman" w:hAnsi="Times New Roman" w:cs="Times New Roman" w:eastAsia="Times New Roman"/>
          <w:color w:val="000000"/>
          <w:spacing w:val="0"/>
          <w:position w:val="0"/>
          <w:sz w:val="21"/>
          <w:shd w:fill="auto" w:val="clear"/>
        </w:rPr>
      </w:pPr>
    </w:p>
    <w:p>
      <w:pPr>
        <w:spacing w:before="0" w:after="0" w:line="276"/>
        <w:ind w:right="0" w:left="0" w:firstLine="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b/>
          <w:color w:val="000000"/>
          <w:spacing w:val="0"/>
          <w:position w:val="0"/>
          <w:sz w:val="22"/>
          <w:shd w:fill="auto" w:val="clear"/>
        </w:rPr>
        <w:t xml:space="preserve">Les dates à retenir</w:t>
      </w:r>
    </w:p>
    <w:p>
      <w:pPr>
        <w:numPr>
          <w:ilvl w:val="0"/>
          <w:numId w:val="287"/>
        </w:numPr>
        <w:spacing w:before="0" w:after="0" w:line="276"/>
        <w:ind w:right="0" w:left="720" w:hanging="36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b/>
          <w:color w:val="000000"/>
          <w:spacing w:val="0"/>
          <w:position w:val="0"/>
          <w:sz w:val="22"/>
          <w:shd w:fill="auto" w:val="clear"/>
        </w:rPr>
        <w:t xml:space="preserve">Graphisme</w:t>
      </w:r>
      <w:r>
        <w:rPr>
          <w:rFonts w:ascii="Times New Roman" w:hAnsi="Times New Roman" w:cs="Times New Roman" w:eastAsia="Times New Roman"/>
          <w:color w:val="000000"/>
          <w:spacing w:val="0"/>
          <w:position w:val="0"/>
          <w:sz w:val="22"/>
          <w:shd w:fill="auto" w:val="clear"/>
        </w:rPr>
        <w:t xml:space="preserve"> : de façon schématique, on peut retenir qu’un rond est réalisé vers 3 ans, une croix vers 3 ans et demi, un carré vers 4 ans, un triangle vers 5 ans et un losange vers 6 ans</w:t>
      </w:r>
    </w:p>
    <w:p>
      <w:pPr>
        <w:spacing w:before="0" w:after="0" w:line="276"/>
        <w:ind w:right="0" w:left="720" w:firstLine="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color w:val="000000"/>
          <w:spacing w:val="0"/>
          <w:position w:val="0"/>
          <w:sz w:val="22"/>
          <w:shd w:fill="auto" w:val="clear"/>
        </w:rPr>
        <w:t xml:space="preserve">Le dessin du bonhomme est également très utile : bonhomme-têtard vers 3 ans et demi ou 4 ans. Le bonhomme à 5 parties distinctes apparaît vers 4 ans ou 4 ans et demi, puis il s’enrichit de détails. Le profil apparaît vers 6 ans.</w:t>
      </w:r>
    </w:p>
    <w:p>
      <w:pPr>
        <w:spacing w:before="0" w:after="0" w:line="276"/>
        <w:ind w:right="0" w:left="720" w:firstLine="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color w:val="000000"/>
          <w:spacing w:val="0"/>
          <w:position w:val="0"/>
          <w:sz w:val="22"/>
          <w:shd w:fill="auto" w:val="clear"/>
        </w:rPr>
        <w:t xml:space="preserve">La latéralisation s’acquiert entre 3 ans et demi et 4 ans et demi pour la main et le pied.</w:t>
      </w:r>
    </w:p>
    <w:p>
      <w:pPr>
        <w:numPr>
          <w:ilvl w:val="0"/>
          <w:numId w:val="289"/>
        </w:numPr>
        <w:spacing w:before="0" w:after="0" w:line="276"/>
        <w:ind w:right="0" w:left="720" w:hanging="36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b/>
          <w:color w:val="000000"/>
          <w:spacing w:val="0"/>
          <w:position w:val="0"/>
          <w:sz w:val="22"/>
          <w:shd w:fill="auto" w:val="clear"/>
        </w:rPr>
        <w:t xml:space="preserve">Langage </w:t>
      </w:r>
      <w:r>
        <w:rPr>
          <w:rFonts w:ascii="Times New Roman" w:hAnsi="Times New Roman" w:cs="Times New Roman" w:eastAsia="Times New Roman"/>
          <w:color w:val="000000"/>
          <w:spacing w:val="0"/>
          <w:position w:val="0"/>
          <w:sz w:val="22"/>
          <w:shd w:fill="auto" w:val="clear"/>
        </w:rPr>
        <w:t xml:space="preserve">: le langage devient riche et informatif à partir de 3 ans et demi, les couleurs sont connues vers 4 ans, la sériation chronologique et en taille commence à être maîtrisée entre 4 et 5 ans.</w:t>
      </w:r>
    </w:p>
    <w:p>
      <w:pPr>
        <w:numPr>
          <w:ilvl w:val="0"/>
          <w:numId w:val="289"/>
        </w:numPr>
        <w:spacing w:before="0" w:after="0" w:line="276"/>
        <w:ind w:right="0" w:left="720" w:hanging="36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b/>
          <w:color w:val="000000"/>
          <w:spacing w:val="0"/>
          <w:position w:val="0"/>
          <w:sz w:val="22"/>
          <w:shd w:fill="auto" w:val="clear"/>
        </w:rPr>
        <w:t xml:space="preserve">Autonomie </w:t>
      </w:r>
      <w:r>
        <w:rPr>
          <w:rFonts w:ascii="Times New Roman" w:hAnsi="Times New Roman" w:cs="Times New Roman" w:eastAsia="Times New Roman"/>
          <w:color w:val="000000"/>
          <w:spacing w:val="0"/>
          <w:position w:val="0"/>
          <w:sz w:val="22"/>
          <w:shd w:fill="auto" w:val="clear"/>
        </w:rPr>
        <w:t xml:space="preserve">: l’enfant de déshabille vers 3 ans, s’habille seul vers 4 ans et demi ou 5 ans, y compris lorsqu’il y a des boutons. Le n</w:t>
      </w:r>
      <w:r>
        <w:rPr>
          <w:rFonts w:ascii="Times New Roman" w:hAnsi="Times New Roman" w:cs="Times New Roman" w:eastAsia="Times New Roman"/>
          <w:color w:val="000000"/>
          <w:spacing w:val="0"/>
          <w:position w:val="0"/>
          <w:sz w:val="22"/>
          <w:shd w:fill="auto" w:val="clear"/>
        </w:rPr>
        <w:t xml:space="preserve">œud de lacets est acquis vers 6 ou 7 ans.</w:t>
      </w:r>
    </w:p>
    <w:p>
      <w:pPr>
        <w:numPr>
          <w:ilvl w:val="0"/>
          <w:numId w:val="289"/>
        </w:numPr>
        <w:spacing w:before="0" w:after="0" w:line="276"/>
        <w:ind w:right="0" w:left="720" w:hanging="36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b/>
          <w:color w:val="000000"/>
          <w:spacing w:val="0"/>
          <w:position w:val="0"/>
          <w:sz w:val="22"/>
          <w:shd w:fill="auto" w:val="clear"/>
        </w:rPr>
        <w:t xml:space="preserve">Affectivité/Intelligence </w:t>
      </w:r>
      <w:r>
        <w:rPr>
          <w:rFonts w:ascii="Times New Roman" w:hAnsi="Times New Roman" w:cs="Times New Roman" w:eastAsia="Times New Roman"/>
          <w:color w:val="000000"/>
          <w:spacing w:val="0"/>
          <w:position w:val="0"/>
          <w:sz w:val="22"/>
          <w:shd w:fill="auto" w:val="clear"/>
        </w:rPr>
        <w:t xml:space="preserve">: c’est l’âge de la pensée préopératoire, caractérisée par la curiosité, l’âge du « Pourquoi ? », qui traduit plus une recherche de règles et d’affirmation que d’explications.</w:t>
      </w:r>
    </w:p>
    <w:p>
      <w:pPr>
        <w:spacing w:before="0" w:after="0" w:line="276"/>
        <w:ind w:right="0" w:left="720" w:firstLine="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color w:val="000000"/>
          <w:spacing w:val="0"/>
          <w:position w:val="0"/>
          <w:sz w:val="22"/>
          <w:shd w:fill="auto" w:val="clear"/>
        </w:rPr>
        <w:t xml:space="preserve">Tout a une raison d’être, même artificielle, le hasard n’existe pas.</w:t>
      </w:r>
    </w:p>
    <w:p>
      <w:pPr>
        <w:spacing w:before="0" w:after="0" w:line="276"/>
        <w:ind w:right="0" w:left="720" w:firstLine="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color w:val="000000"/>
          <w:spacing w:val="0"/>
          <w:position w:val="0"/>
          <w:sz w:val="22"/>
          <w:shd w:fill="auto" w:val="clear"/>
        </w:rPr>
        <w:t xml:space="preserve">La pensée magique et l’animisme : chaque chose est vivante et douée d’intention bonne ou mauvaise.</w:t>
      </w:r>
    </w:p>
    <w:p>
      <w:pPr>
        <w:spacing w:before="0" w:after="0" w:line="276"/>
        <w:ind w:right="0" w:left="720" w:firstLine="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color w:val="000000"/>
          <w:spacing w:val="0"/>
          <w:position w:val="0"/>
          <w:sz w:val="22"/>
          <w:shd w:fill="auto" w:val="clear"/>
        </w:rPr>
        <w:t xml:space="preserve">Parallèlement, le sens moral se développe par intériorisation des interdits parentaux (apparition du « surmoi », intuition : « c’est comme ça »).</w:t>
      </w:r>
    </w:p>
    <w:p>
      <w:pPr>
        <w:numPr>
          <w:ilvl w:val="0"/>
          <w:numId w:val="291"/>
        </w:numPr>
        <w:spacing w:before="0" w:after="0" w:line="276"/>
        <w:ind w:right="0" w:left="720" w:hanging="360"/>
        <w:jc w:val="both"/>
        <w:rPr>
          <w:rFonts w:ascii="Times New Roman" w:hAnsi="Times New Roman" w:cs="Times New Roman" w:eastAsia="Times New Roman"/>
          <w:color w:val="000000"/>
          <w:spacing w:val="0"/>
          <w:position w:val="0"/>
          <w:sz w:val="21"/>
          <w:shd w:fill="auto" w:val="clear"/>
        </w:rPr>
      </w:pPr>
      <w:r>
        <w:rPr>
          <w:rFonts w:ascii="Times New Roman" w:hAnsi="Times New Roman" w:cs="Times New Roman" w:eastAsia="Times New Roman"/>
          <w:b/>
          <w:color w:val="000000"/>
          <w:spacing w:val="0"/>
          <w:position w:val="0"/>
          <w:sz w:val="22"/>
          <w:shd w:fill="auto" w:val="clear"/>
        </w:rPr>
        <w:t xml:space="preserve">L’égocentrisme</w:t>
      </w:r>
      <w:r>
        <w:rPr>
          <w:rFonts w:ascii="Times New Roman" w:hAnsi="Times New Roman" w:cs="Times New Roman" w:eastAsia="Times New Roman"/>
          <w:color w:val="000000"/>
          <w:spacing w:val="0"/>
          <w:position w:val="0"/>
          <w:sz w:val="22"/>
          <w:shd w:fill="auto" w:val="clear"/>
        </w:rPr>
        <w:t xml:space="preserve"> : l’enfant n’est pas ouvert à la pensée des autres, les règles générales ne sont que les siennes propres. Sur le plan affectif, c’est la période du complexe d’</w:t>
      </w:r>
      <w:r>
        <w:rPr>
          <w:rFonts w:ascii="Times New Roman" w:hAnsi="Times New Roman" w:cs="Times New Roman" w:eastAsia="Times New Roman"/>
          <w:color w:val="000000"/>
          <w:spacing w:val="0"/>
          <w:position w:val="0"/>
          <w:sz w:val="22"/>
          <w:shd w:fill="auto" w:val="clear"/>
        </w:rPr>
        <w:t xml:space="preserve">Œdipe.</w:t>
      </w:r>
    </w:p>
    <w:p>
      <w:pPr>
        <w:spacing w:before="0" w:after="0" w:line="276"/>
        <w:ind w:right="0" w:left="720"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000000"/>
          <w:spacing w:val="0"/>
          <w:position w:val="0"/>
          <w:sz w:val="22"/>
          <w:shd w:fill="auto" w:val="clear"/>
        </w:rPr>
        <w:t xml:space="preserve">La découverte de la différence des sexes permet à l’enfant de se définir comme être sexué. Le plaisir est associé à la stimulation de la zone sexuelle (masturbation), le conflit existe avec le parent du même sexe, qu’il perçoit comme un rival dans l’amour pour le parent de sexe opposé. Le conflit </w:t>
      </w:r>
      <w:r>
        <w:rPr>
          <w:rFonts w:ascii="Times New Roman" w:hAnsi="Times New Roman" w:cs="Times New Roman" w:eastAsia="Times New Roman"/>
          <w:color w:val="000000"/>
          <w:spacing w:val="0"/>
          <w:position w:val="0"/>
          <w:sz w:val="22"/>
          <w:shd w:fill="auto" w:val="clear"/>
        </w:rPr>
        <w:t xml:space="preserve">œdipien engendre </w:t>
      </w:r>
      <w:r>
        <w:rPr>
          <w:rFonts w:ascii="Times New Roman" w:hAnsi="Times New Roman" w:cs="Times New Roman" w:eastAsia="Times New Roman"/>
          <w:color w:val="000000"/>
          <w:spacing w:val="0"/>
          <w:position w:val="0"/>
          <w:sz w:val="22"/>
          <w:shd w:fill="auto" w:val="clear"/>
        </w:rPr>
        <w:t xml:space="preserve">« l’angoisse de castration » : l’enfant imagine que la fille a été privée de pénis par punition venant du père, d’où le nom de stade phallique donné à cette période.</w:t>
      </w:r>
    </w:p>
    <w:p>
      <w:pPr>
        <w:spacing w:before="0" w:after="0" w:line="276"/>
        <w:ind w:right="0" w:left="720" w:firstLine="0"/>
        <w:jc w:val="both"/>
        <w:rPr>
          <w:rFonts w:ascii="Times New Roman" w:hAnsi="Times New Roman" w:cs="Times New Roman" w:eastAsia="Times New Roman"/>
          <w:color w:val="auto"/>
          <w:spacing w:val="0"/>
          <w:position w:val="0"/>
          <w:sz w:val="21"/>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1"/>
          <w:shd w:fill="auto" w:val="clear"/>
        </w:rPr>
      </w:pPr>
    </w:p>
    <w:p>
      <w:pPr>
        <w:keepNext w:val="true"/>
        <w:numPr>
          <w:ilvl w:val="0"/>
          <w:numId w:val="294"/>
        </w:numPr>
        <w:spacing w:before="240" w:after="120" w:line="240"/>
        <w:ind w:right="0" w:left="1531" w:firstLine="0"/>
        <w:jc w:val="left"/>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b/>
          <w:color w:val="2F5496"/>
          <w:spacing w:val="0"/>
          <w:position w:val="0"/>
          <w:sz w:val="32"/>
          <w:shd w:fill="auto" w:val="clear"/>
        </w:rPr>
        <w:t xml:space="preserve">7. Mises en situation : cas pratiques</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Lisez attentivement le problème posé par chacun des cas suivants.</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À chaque fois, mettez-vous à la place de Virginie, la secrétaire.</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Réfléchissez et essayez d’y répondre.</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À chaque fois, justifiez votre réponse à partir de bases légales, de textes de lois, de règles…</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p>
    <w:p>
      <w:pPr>
        <w:spacing w:before="0" w:after="0" w:line="276"/>
        <w:ind w:right="0" w:left="0" w:firstLine="0"/>
        <w:jc w:val="both"/>
        <w:rPr>
          <w:rFonts w:ascii="Times New Roman" w:hAnsi="Times New Roman" w:cs="Times New Roman" w:eastAsia="Times New Roman"/>
          <w:b/>
          <w:color w:val="2F5496"/>
          <w:spacing w:val="0"/>
          <w:position w:val="0"/>
          <w:sz w:val="24"/>
          <w:shd w:fill="auto" w:val="clear"/>
        </w:rPr>
      </w:pPr>
      <w:r>
        <w:rPr>
          <w:rFonts w:ascii="Times New Roman" w:hAnsi="Times New Roman" w:cs="Times New Roman" w:eastAsia="Times New Roman"/>
          <w:b/>
          <w:color w:val="2F5496"/>
          <w:spacing w:val="0"/>
          <w:position w:val="0"/>
          <w:sz w:val="24"/>
          <w:shd w:fill="auto" w:val="clear"/>
        </w:rPr>
        <w:t xml:space="preserve">Cas n</w:t>
      </w:r>
      <w:r>
        <w:rPr>
          <w:rFonts w:ascii="Times New Roman" w:hAnsi="Times New Roman" w:cs="Times New Roman" w:eastAsia="Times New Roman"/>
          <w:b/>
          <w:color w:val="2F5496"/>
          <w:spacing w:val="0"/>
          <w:position w:val="0"/>
          <w:sz w:val="24"/>
          <w:shd w:fill="auto" w:val="clear"/>
          <w:vertAlign w:val="superscript"/>
        </w:rPr>
        <w:t xml:space="preserve">o</w:t>
      </w:r>
      <w:r>
        <w:rPr>
          <w:rFonts w:ascii="Times New Roman" w:hAnsi="Times New Roman" w:cs="Times New Roman" w:eastAsia="Times New Roman"/>
          <w:b/>
          <w:color w:val="2F5496"/>
          <w:spacing w:val="0"/>
          <w:position w:val="0"/>
          <w:sz w:val="24"/>
          <w:shd w:fill="auto" w:val="clear"/>
        </w:rPr>
        <w:t xml:space="preserve"> 1</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Virginie est secrétaire dans un cabinet d’anatomopathologie.</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Le docteur Uros a réalisé une biopsie de la prostate sur M. Malad et c’est le docteur Pathos (le médecin chez qui elle travaille) qui est chargé de l’analyser. En réalité, il s’agit d’un cancer de la prostate.</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Virginie reçoit un coup de téléphone de M. Copin, ami de M. Malad, qui lui demande de lui communiquer le résultat. Celui-ci  insiste  :</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 Vous savez, nous sommes très amis, nous jouons tous les jours aux boules ensemble, il me dit tous ses secrets. D’ailleurs, vous voyez, je savais qu’il devait subir un examen de la prostate chez le docteur Uros. »</w:t>
      </w: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Que lui répondez vous ? Pourquoi ?</w:t>
      </w:r>
    </w:p>
    <w:p>
      <w:pPr>
        <w:spacing w:before="0" w:after="0" w:line="276"/>
        <w:ind w:right="0" w:left="0" w:firstLine="0"/>
        <w:jc w:val="both"/>
        <w:rPr>
          <w:rFonts w:ascii="Times New Roman" w:hAnsi="Times New Roman" w:cs="Times New Roman" w:eastAsia="Times New Roman"/>
          <w:b/>
          <w:color w:val="002060"/>
          <w:spacing w:val="0"/>
          <w:position w:val="0"/>
          <w:sz w:val="48"/>
          <w:shd w:fill="auto" w:val="clear"/>
        </w:rPr>
      </w:pP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b/>
          <w:color w:val="2F5496"/>
          <w:spacing w:val="0"/>
          <w:position w:val="0"/>
          <w:sz w:val="24"/>
          <w:shd w:fill="auto" w:val="clear"/>
        </w:rPr>
        <w:t xml:space="preserve">Cas n</w:t>
      </w:r>
      <w:r>
        <w:rPr>
          <w:rFonts w:ascii="Times New Roman" w:hAnsi="Times New Roman" w:cs="Times New Roman" w:eastAsia="Times New Roman"/>
          <w:b/>
          <w:color w:val="2F5496"/>
          <w:spacing w:val="0"/>
          <w:position w:val="0"/>
          <w:sz w:val="24"/>
          <w:shd w:fill="auto" w:val="clear"/>
          <w:vertAlign w:val="superscript"/>
        </w:rPr>
        <w:t xml:space="preserve">o</w:t>
      </w:r>
      <w:r>
        <w:rPr>
          <w:rFonts w:ascii="Times New Roman" w:hAnsi="Times New Roman" w:cs="Times New Roman" w:eastAsia="Times New Roman"/>
          <w:b/>
          <w:color w:val="2F5496"/>
          <w:spacing w:val="0"/>
          <w:position w:val="0"/>
          <w:sz w:val="24"/>
          <w:shd w:fill="auto" w:val="clear"/>
        </w:rPr>
        <w:t xml:space="preserve"> 2</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Virginie travaille chez le docteur Lenfant, obstétricien.</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Elle reçoit un coup de téléphone de Mme Maman, mère d’Agnès, âgée de 19 ans et qui est venue consulter la veille le docteur Lenfant. Après s’être présentée au téléphone, elle demande :</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 Voulez-vous me préciser quand le docteur Lenfant pratiquera l’IVG sur ma fille, Agnès ? Vous savez, non seulement nous sommes inquiets, mais nous devons nous organiser. Je suis sa mère, vous comprenez. »</w:t>
      </w: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Que lui répondez vous ? Pourquoi ?</w:t>
      </w:r>
    </w:p>
    <w:p>
      <w:pPr>
        <w:spacing w:before="0" w:after="0" w:line="276"/>
        <w:ind w:right="0" w:left="0" w:firstLine="0"/>
        <w:jc w:val="both"/>
        <w:rPr>
          <w:rFonts w:ascii="Times New Roman" w:hAnsi="Times New Roman" w:cs="Times New Roman" w:eastAsia="Times New Roman"/>
          <w:b/>
          <w:color w:val="002060"/>
          <w:spacing w:val="0"/>
          <w:position w:val="0"/>
          <w:sz w:val="48"/>
          <w:shd w:fill="auto" w:val="clear"/>
        </w:rPr>
      </w:pP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b/>
          <w:color w:val="2F5496"/>
          <w:spacing w:val="0"/>
          <w:position w:val="0"/>
          <w:sz w:val="24"/>
          <w:shd w:fill="auto" w:val="clear"/>
        </w:rPr>
        <w:t xml:space="preserve">Cas n</w:t>
      </w:r>
      <w:r>
        <w:rPr>
          <w:rFonts w:ascii="Times New Roman" w:hAnsi="Times New Roman" w:cs="Times New Roman" w:eastAsia="Times New Roman"/>
          <w:b/>
          <w:color w:val="2F5496"/>
          <w:spacing w:val="0"/>
          <w:position w:val="0"/>
          <w:sz w:val="24"/>
          <w:shd w:fill="auto" w:val="clear"/>
          <w:vertAlign w:val="superscript"/>
        </w:rPr>
        <w:t xml:space="preserve">o</w:t>
      </w:r>
      <w:r>
        <w:rPr>
          <w:rFonts w:ascii="Times New Roman" w:hAnsi="Times New Roman" w:cs="Times New Roman" w:eastAsia="Times New Roman"/>
          <w:b/>
          <w:color w:val="2F5496"/>
          <w:spacing w:val="0"/>
          <w:position w:val="0"/>
          <w:sz w:val="24"/>
          <w:shd w:fill="auto" w:val="clear"/>
        </w:rPr>
        <w:t xml:space="preserve"> 3</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Même situation mais, ici, Agnès est âgée de 15 ans.</w:t>
      </w:r>
    </w:p>
    <w:p>
      <w:pPr>
        <w:spacing w:before="0" w:after="0" w:line="276"/>
        <w:ind w:right="0" w:left="0" w:firstLine="0"/>
        <w:jc w:val="both"/>
        <w:rPr>
          <w:rFonts w:ascii="Times New Roman" w:hAnsi="Times New Roman" w:cs="Times New Roman" w:eastAsia="Times New Roman"/>
          <w:b/>
          <w:color w:val="002060"/>
          <w:spacing w:val="0"/>
          <w:position w:val="0"/>
          <w:sz w:val="48"/>
          <w:shd w:fill="auto" w:val="clear"/>
        </w:rPr>
      </w:pP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b/>
          <w:color w:val="2F5496"/>
          <w:spacing w:val="0"/>
          <w:position w:val="0"/>
          <w:sz w:val="24"/>
          <w:shd w:fill="auto" w:val="clear"/>
        </w:rPr>
        <w:t xml:space="preserve">Cas n</w:t>
      </w:r>
      <w:r>
        <w:rPr>
          <w:rFonts w:ascii="Times New Roman" w:hAnsi="Times New Roman" w:cs="Times New Roman" w:eastAsia="Times New Roman"/>
          <w:b/>
          <w:color w:val="2F5496"/>
          <w:spacing w:val="0"/>
          <w:position w:val="0"/>
          <w:sz w:val="24"/>
          <w:shd w:fill="auto" w:val="clear"/>
          <w:vertAlign w:val="superscript"/>
        </w:rPr>
        <w:t xml:space="preserve">o</w:t>
      </w:r>
      <w:r>
        <w:rPr>
          <w:rFonts w:ascii="Times New Roman" w:hAnsi="Times New Roman" w:cs="Times New Roman" w:eastAsia="Times New Roman"/>
          <w:b/>
          <w:color w:val="2F5496"/>
          <w:spacing w:val="0"/>
          <w:position w:val="0"/>
          <w:sz w:val="24"/>
          <w:shd w:fill="auto" w:val="clear"/>
        </w:rPr>
        <w:t xml:space="preserve"> 4</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Même situation mais, ici, Agnès est majeure et c’est son ami (le père présumé de l’enfant à naître) qui téléphone.</w:t>
      </w:r>
    </w:p>
    <w:p>
      <w:pPr>
        <w:spacing w:before="0" w:after="0" w:line="276"/>
        <w:ind w:right="0" w:left="0" w:firstLine="0"/>
        <w:jc w:val="both"/>
        <w:rPr>
          <w:rFonts w:ascii="Times New Roman" w:hAnsi="Times New Roman" w:cs="Times New Roman" w:eastAsia="Times New Roman"/>
          <w:b/>
          <w:color w:val="002060"/>
          <w:spacing w:val="0"/>
          <w:position w:val="0"/>
          <w:sz w:val="48"/>
          <w:shd w:fill="auto" w:val="clear"/>
        </w:rPr>
      </w:pP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b/>
          <w:color w:val="2F5496"/>
          <w:spacing w:val="0"/>
          <w:position w:val="0"/>
          <w:sz w:val="24"/>
          <w:shd w:fill="auto" w:val="clear"/>
        </w:rPr>
        <w:t xml:space="preserve">Cas n</w:t>
      </w:r>
      <w:r>
        <w:rPr>
          <w:rFonts w:ascii="Times New Roman" w:hAnsi="Times New Roman" w:cs="Times New Roman" w:eastAsia="Times New Roman"/>
          <w:b/>
          <w:color w:val="2F5496"/>
          <w:spacing w:val="0"/>
          <w:position w:val="0"/>
          <w:sz w:val="24"/>
          <w:shd w:fill="auto" w:val="clear"/>
          <w:vertAlign w:val="superscript"/>
        </w:rPr>
        <w:t xml:space="preserve">o</w:t>
      </w:r>
      <w:r>
        <w:rPr>
          <w:rFonts w:ascii="Times New Roman" w:hAnsi="Times New Roman" w:cs="Times New Roman" w:eastAsia="Times New Roman"/>
          <w:b/>
          <w:color w:val="2F5496"/>
          <w:spacing w:val="0"/>
          <w:position w:val="0"/>
          <w:sz w:val="24"/>
          <w:shd w:fill="auto" w:val="clear"/>
        </w:rPr>
        <w:t xml:space="preserve"> 5</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Virginie exerce les fonctions de secrétaire depuis 15 ans chez le docteur Bibtou, médecin généraliste. Elle reçoit une demande téléphonique de M. Malad, en arrêt de travail pour un accident du travail depuis plus de trois mois et qui réclame une prolongation d’arrêt, qu’il passera prendre dans l’après-midi au cabinet. Malheureusement, le docteur Bibtou est absent jusqu’au lendemain.</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Écoutez-le :</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 M. Bibtou m’avait demandé de passer aujourd’hui pour la prolongation. Il est absent et je suis ennuyé… Il me faut ce papier pour la Sécu, sinon je ne serai pas payé. Vous n’avez qu’à me le signer. Vous me connaissez… c’est un service que je vous demande Virginie… »</w:t>
      </w: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Que lui répondez vous ? Pourquoi ?</w:t>
      </w:r>
    </w:p>
    <w:p>
      <w:pPr>
        <w:spacing w:before="0" w:after="0" w:line="276"/>
        <w:ind w:right="0" w:left="0" w:firstLine="0"/>
        <w:jc w:val="both"/>
        <w:rPr>
          <w:rFonts w:ascii="Times New Roman" w:hAnsi="Times New Roman" w:cs="Times New Roman" w:eastAsia="Times New Roman"/>
          <w:b/>
          <w:color w:val="002060"/>
          <w:spacing w:val="0"/>
          <w:position w:val="0"/>
          <w:sz w:val="48"/>
          <w:shd w:fill="auto" w:val="clear"/>
        </w:rPr>
      </w:pP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b/>
          <w:color w:val="2F5496"/>
          <w:spacing w:val="0"/>
          <w:position w:val="0"/>
          <w:sz w:val="24"/>
          <w:shd w:fill="auto" w:val="clear"/>
        </w:rPr>
        <w:t xml:space="preserve">Cas n</w:t>
      </w:r>
      <w:r>
        <w:rPr>
          <w:rFonts w:ascii="Times New Roman" w:hAnsi="Times New Roman" w:cs="Times New Roman" w:eastAsia="Times New Roman"/>
          <w:b/>
          <w:color w:val="2F5496"/>
          <w:spacing w:val="0"/>
          <w:position w:val="0"/>
          <w:sz w:val="24"/>
          <w:shd w:fill="auto" w:val="clear"/>
          <w:vertAlign w:val="superscript"/>
        </w:rPr>
        <w:t xml:space="preserve">o</w:t>
      </w:r>
      <w:r>
        <w:rPr>
          <w:rFonts w:ascii="Times New Roman" w:hAnsi="Times New Roman" w:cs="Times New Roman" w:eastAsia="Times New Roman"/>
          <w:b/>
          <w:color w:val="2F5496"/>
          <w:spacing w:val="0"/>
          <w:position w:val="0"/>
          <w:sz w:val="24"/>
          <w:shd w:fill="auto" w:val="clear"/>
        </w:rPr>
        <w:t xml:space="preserve"> 6</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Le même malade appelle au même cabinet.</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Il est « en panne » de médicaments depuis hier, alors qu’il est traité pour une affection coronarienne et que son traitement doit être pris régulièrement, sans la moindre interruption.Le docteur Bibtou est absent jusqu’au lendemain.</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Serez-vous sensible à son argumentation ?</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 Virginie, je vais vous envoyer ma fille, elle vous paiera la consultation, j’ai absolument besoin de ces médicaments. »</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Devant votre hésitation :</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 Vous prenez une grande responsabilité, vous savez, en me refusant cette prescription… Et bien je vais faire appel à un autre médecin. »</w:t>
      </w:r>
    </w:p>
    <w:p>
      <w:pPr>
        <w:spacing w:before="0" w:after="0" w:line="276"/>
        <w:ind w:right="0" w:left="0" w:firstLine="0"/>
        <w:jc w:val="both"/>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Que lui répondez vous ? Que faites vous ? Pourquoi ?</w:t>
      </w:r>
    </w:p>
    <w:p>
      <w:pPr>
        <w:spacing w:before="0" w:after="0" w:line="276"/>
        <w:ind w:right="0" w:left="0" w:firstLine="0"/>
        <w:jc w:val="both"/>
        <w:rPr>
          <w:rFonts w:ascii="Times New Roman" w:hAnsi="Times New Roman" w:cs="Times New Roman" w:eastAsia="Times New Roman"/>
          <w:b/>
          <w:color w:val="002060"/>
          <w:spacing w:val="0"/>
          <w:position w:val="0"/>
          <w:sz w:val="48"/>
          <w:shd w:fill="auto" w:val="clear"/>
        </w:rPr>
      </w:pP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b/>
          <w:color w:val="2F5496"/>
          <w:spacing w:val="0"/>
          <w:position w:val="0"/>
          <w:sz w:val="24"/>
          <w:shd w:fill="auto" w:val="clear"/>
        </w:rPr>
        <w:t xml:space="preserve">Cas n</w:t>
      </w:r>
      <w:r>
        <w:rPr>
          <w:rFonts w:ascii="Times New Roman" w:hAnsi="Times New Roman" w:cs="Times New Roman" w:eastAsia="Times New Roman"/>
          <w:b/>
          <w:color w:val="2F5496"/>
          <w:spacing w:val="0"/>
          <w:position w:val="0"/>
          <w:sz w:val="24"/>
          <w:shd w:fill="auto" w:val="clear"/>
          <w:vertAlign w:val="superscript"/>
        </w:rPr>
        <w:t xml:space="preserve">o</w:t>
      </w:r>
      <w:r>
        <w:rPr>
          <w:rFonts w:ascii="Times New Roman" w:hAnsi="Times New Roman" w:cs="Times New Roman" w:eastAsia="Times New Roman"/>
          <w:b/>
          <w:color w:val="2F5496"/>
          <w:spacing w:val="0"/>
          <w:position w:val="0"/>
          <w:sz w:val="24"/>
          <w:shd w:fill="auto" w:val="clear"/>
        </w:rPr>
        <w:t xml:space="preserve"> 7</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Le même malade est dans la même situation mais il est à court de médicaments qu’il prend régulièrement pour « éviter de faire des crises d’épilepsie ».</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color w:val="000000"/>
          <w:spacing w:val="0"/>
          <w:position w:val="0"/>
          <w:sz w:val="22"/>
          <w:shd w:fill="auto" w:val="clear"/>
        </w:rPr>
        <w:t xml:space="preserve">Il insiste, il est même agressif et promet de « passer vous voir au cabinet » pour récupérer son ordonnance.</w:t>
      </w:r>
    </w:p>
    <w:p>
      <w:pPr>
        <w:spacing w:before="0" w:after="0" w:line="276"/>
        <w:ind w:right="0" w:left="0" w:firstLine="0"/>
        <w:jc w:val="both"/>
        <w:rPr>
          <w:rFonts w:ascii="Times New Roman" w:hAnsi="Times New Roman" w:cs="Times New Roman" w:eastAsia="Times New Roman"/>
          <w:b/>
          <w:color w:val="002060"/>
          <w:spacing w:val="0"/>
          <w:position w:val="0"/>
          <w:sz w:val="68"/>
          <w:shd w:fill="auto" w:val="clear"/>
        </w:rPr>
      </w:pPr>
    </w:p>
    <w:p>
      <w:pPr>
        <w:keepNext w:val="true"/>
        <w:numPr>
          <w:ilvl w:val="0"/>
          <w:numId w:val="296"/>
        </w:numPr>
        <w:spacing w:before="240" w:after="120" w:line="240"/>
        <w:ind w:right="0" w:left="1531" w:firstLine="0"/>
        <w:jc w:val="left"/>
        <w:rPr>
          <w:rFonts w:ascii="Times New Roman" w:hAnsi="Times New Roman" w:cs="Times New Roman" w:eastAsia="Times New Roman"/>
          <w:b/>
          <w:color w:val="002060"/>
          <w:spacing w:val="0"/>
          <w:position w:val="0"/>
          <w:sz w:val="68"/>
          <w:shd w:fill="auto" w:val="clear"/>
        </w:rPr>
      </w:pPr>
      <w:r>
        <w:rPr>
          <w:rFonts w:ascii="Times New Roman" w:hAnsi="Times New Roman" w:cs="Times New Roman" w:eastAsia="Times New Roman"/>
          <w:b/>
          <w:color w:val="2F5496"/>
          <w:spacing w:val="0"/>
          <w:position w:val="0"/>
          <w:sz w:val="32"/>
          <w:shd w:fill="auto" w:val="clear"/>
        </w:rPr>
        <w:t xml:space="preserve">8. Conclusion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 document a l’ambition de devenir un </w:t>
      </w:r>
      <w:r>
        <w:rPr>
          <w:rFonts w:ascii="Times New Roman" w:hAnsi="Times New Roman" w:cs="Times New Roman" w:eastAsia="Times New Roman"/>
          <w:b/>
          <w:color w:val="000000"/>
          <w:spacing w:val="0"/>
          <w:position w:val="0"/>
          <w:sz w:val="22"/>
          <w:shd w:fill="auto" w:val="clear"/>
        </w:rPr>
        <w:t xml:space="preserve">véritable guide des pratiques d</w:t>
      </w:r>
      <w:r>
        <w:rPr>
          <w:rFonts w:ascii="Times New Roman" w:hAnsi="Times New Roman" w:cs="Times New Roman" w:eastAsia="Times New Roman"/>
          <w:b/>
          <w:color w:val="auto"/>
          <w:spacing w:val="0"/>
          <w:position w:val="0"/>
          <w:sz w:val="22"/>
          <w:shd w:fill="auto" w:val="clear"/>
        </w:rPr>
        <w:t xml:space="preserve">u secrétaire</w:t>
      </w:r>
      <w:r>
        <w:rPr>
          <w:rFonts w:ascii="Times New Roman" w:hAnsi="Times New Roman" w:cs="Times New Roman" w:eastAsia="Times New Roman"/>
          <w:b/>
          <w:color w:val="000000"/>
          <w:spacing w:val="0"/>
          <w:position w:val="0"/>
          <w:sz w:val="22"/>
          <w:shd w:fill="auto" w:val="clear"/>
        </w:rPr>
        <w:t xml:space="preserve"> médical</w:t>
      </w:r>
      <w:r>
        <w:rPr>
          <w:rFonts w:ascii="Times New Roman" w:hAnsi="Times New Roman" w:cs="Times New Roman" w:eastAsia="Times New Roman"/>
          <w:color w:val="000000"/>
          <w:spacing w:val="0"/>
          <w:position w:val="0"/>
          <w:sz w:val="22"/>
          <w:shd w:fill="auto" w:val="clear"/>
        </w:rPr>
        <w:t xml:space="preserv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Le secrétaire médical, qui est l’interface entre le médecin et le patient, va </w:t>
      </w:r>
      <w:r>
        <w:rPr>
          <w:rFonts w:ascii="Times New Roman" w:hAnsi="Times New Roman" w:cs="Times New Roman" w:eastAsia="Times New Roman"/>
          <w:b/>
          <w:color w:val="000000"/>
          <w:spacing w:val="0"/>
          <w:position w:val="0"/>
          <w:sz w:val="22"/>
          <w:shd w:fill="auto" w:val="clear"/>
        </w:rPr>
        <w:t xml:space="preserve">se voir confier de plus en plus de tâches nouvelles,</w:t>
      </w:r>
      <w:r>
        <w:rPr>
          <w:rFonts w:ascii="Times New Roman" w:hAnsi="Times New Roman" w:cs="Times New Roman" w:eastAsia="Times New Roman"/>
          <w:color w:val="000000"/>
          <w:spacing w:val="0"/>
          <w:position w:val="0"/>
          <w:sz w:val="22"/>
          <w:shd w:fill="auto" w:val="clear"/>
        </w:rPr>
        <w:t xml:space="preserve"> grâce aux connaissances acquises par cet enseignement.</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Il s’agit de tâches simples non thérapeutiques qui permettront au praticien de voir son travail allégé, privilégiant ainsi la démarche intellectuelle de l’acte médical.</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Par exemple, mesurer l’acuité visuelle à l’aide des échelles classiques ou effectuer un audiogramme, laissant au médecin ophtalmologiste ou à l’ORL, selon les cas, l’interprétation précise de cet examen en fonction du contexte clinique.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Ces nouvelles tâches que le médecin voudra bien déléguer à son collaborateur doivent être bien définies et parfaitement acquises tant sur le plan théorique que pratique.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 guide en assurera l’essentiel de l’enseignement théorique.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Sans être exhaustives ces notions seront transmises par des médecins ou infirmières privilégiant la mise en pratique par le biais de stages indispensables à une parfaite connaissance.</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Cette première édition sera revue et corrigée régulièrement à la lueur des premiers enseignements.</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Nous souhaitons que cet ouvrage vous donne entière satisfaction.</w:t>
      </w:r>
    </w:p>
    <w:p>
      <w:pPr>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right"/>
        <w:rPr>
          <w:rFonts w:ascii="Arial" w:hAnsi="Arial" w:cs="Arial" w:eastAsia="Arial"/>
          <w:b/>
          <w:color w:val="000000"/>
          <w:spacing w:val="0"/>
          <w:position w:val="0"/>
          <w:sz w:val="24"/>
          <w:u w:val="single"/>
          <w:shd w:fill="auto" w:val="clear"/>
        </w:rPr>
      </w:pPr>
      <w:r>
        <w:rPr>
          <w:rFonts w:ascii="Cambria" w:hAnsi="Cambria" w:cs="Cambria" w:eastAsia="Cambria"/>
          <w:b/>
          <w:color w:val="000000"/>
          <w:spacing w:val="0"/>
          <w:position w:val="0"/>
          <w:sz w:val="22"/>
          <w:u w:val="single"/>
          <w:shd w:fill="auto" w:val="clear"/>
        </w:rPr>
        <w:t xml:space="preserve">Les auteurs</w:t>
      </w:r>
    </w:p>
    <w:p>
      <w:pPr>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4DBB"/>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450">
    <w:lvl w:ilvl="0">
      <w:start w:val="1"/>
      <w:numFmt w:val="bullet"/>
      <w:lvlText w:val="•"/>
    </w:lvl>
  </w:abstractNum>
  <w:abstractNum w:abstractNumId="456">
    <w:lvl w:ilvl="0">
      <w:start w:val="1"/>
      <w:numFmt w:val="bullet"/>
      <w:lvlText w:val="•"/>
    </w:lvl>
  </w:abstractNum>
  <w:abstractNum w:abstractNumId="462">
    <w:lvl w:ilvl="0">
      <w:start w:val="1"/>
      <w:numFmt w:val="bullet"/>
      <w:lvlText w:val="•"/>
    </w:lvl>
  </w:abstractNum>
  <w:abstractNum w:abstractNumId="468">
    <w:lvl w:ilvl="0">
      <w:start w:val="1"/>
      <w:numFmt w:val="bullet"/>
      <w:lvlText w:val="•"/>
    </w:lvl>
  </w:abstractNum>
  <w:abstractNum w:abstractNumId="474">
    <w:lvl w:ilvl="0">
      <w:start w:val="1"/>
      <w:numFmt w:val="bullet"/>
      <w:lvlText w:val="•"/>
    </w:lvl>
  </w:abstractNum>
  <w:abstractNum w:abstractNumId="480">
    <w:lvl w:ilvl="0">
      <w:start w:val="1"/>
      <w:numFmt w:val="bullet"/>
      <w:lvlText w:val="•"/>
    </w:lvl>
  </w:abstractNum>
  <w:abstractNum w:abstractNumId="486">
    <w:lvl w:ilvl="0">
      <w:start w:val="1"/>
      <w:numFmt w:val="bullet"/>
      <w:lvlText w:val="•"/>
    </w:lvl>
  </w:abstractNum>
  <w:abstractNum w:abstractNumId="492">
    <w:lvl w:ilvl="0">
      <w:start w:val="1"/>
      <w:numFmt w:val="bullet"/>
      <w:lvlText w:val="•"/>
    </w:lvl>
  </w:abstractNum>
  <w:abstractNum w:abstractNumId="498">
    <w:lvl w:ilvl="0">
      <w:start w:val="1"/>
      <w:numFmt w:val="bullet"/>
      <w:lvlText w:val="•"/>
    </w:lvl>
  </w:abstractNum>
  <w:abstractNum w:abstractNumId="504">
    <w:lvl w:ilvl="0">
      <w:start w:val="1"/>
      <w:numFmt w:val="bullet"/>
      <w:lvlText w:val="•"/>
    </w:lvl>
  </w:abstractNum>
  <w:abstractNum w:abstractNumId="510">
    <w:lvl w:ilvl="0">
      <w:start w:val="1"/>
      <w:numFmt w:val="bullet"/>
      <w:lvlText w:val="•"/>
    </w:lvl>
  </w:abstractNum>
  <w:abstractNum w:abstractNumId="516">
    <w:lvl w:ilvl="0">
      <w:start w:val="1"/>
      <w:numFmt w:val="bullet"/>
      <w:lvlText w:val="•"/>
    </w:lvl>
  </w:abstractNum>
  <w:abstractNum w:abstractNumId="522">
    <w:lvl w:ilvl="0">
      <w:start w:val="1"/>
      <w:numFmt w:val="bullet"/>
      <w:lvlText w:val="•"/>
    </w:lvl>
  </w:abstractNum>
  <w:abstractNum w:abstractNumId="528">
    <w:lvl w:ilvl="0">
      <w:start w:val="1"/>
      <w:numFmt w:val="bullet"/>
      <w:lvlText w:val="•"/>
    </w:lvl>
  </w:abstractNum>
  <w:abstractNum w:abstractNumId="534">
    <w:lvl w:ilvl="0">
      <w:start w:val="1"/>
      <w:numFmt w:val="bullet"/>
      <w:lvlText w:val="•"/>
    </w:lvl>
  </w:abstractNum>
  <w:abstractNum w:abstractNumId="540">
    <w:lvl w:ilvl="0">
      <w:start w:val="1"/>
      <w:numFmt w:val="bullet"/>
      <w:lvlText w:val="•"/>
    </w:lvl>
  </w:abstractNum>
  <w:abstractNum w:abstractNumId="546">
    <w:lvl w:ilvl="0">
      <w:start w:val="1"/>
      <w:numFmt w:val="bullet"/>
      <w:lvlText w:val="•"/>
    </w:lvl>
  </w:abstractNum>
  <w:abstractNum w:abstractNumId="552">
    <w:lvl w:ilvl="0">
      <w:start w:val="1"/>
      <w:numFmt w:val="bullet"/>
      <w:lvlText w:val="•"/>
    </w:lvl>
  </w:abstractNum>
  <w:abstractNum w:abstractNumId="558">
    <w:lvl w:ilvl="0">
      <w:start w:val="1"/>
      <w:numFmt w:val="bullet"/>
      <w:lvlText w:val="•"/>
    </w:lvl>
  </w:abstractNum>
  <w:abstractNum w:abstractNumId="564">
    <w:lvl w:ilvl="0">
      <w:start w:val="1"/>
      <w:numFmt w:val="bullet"/>
      <w:lvlText w:val="•"/>
    </w:lvl>
  </w:abstractNum>
  <w:abstractNum w:abstractNumId="570">
    <w:lvl w:ilvl="0">
      <w:start w:val="1"/>
      <w:numFmt w:val="bullet"/>
      <w:lvlText w:val="•"/>
    </w:lvl>
  </w:abstractNum>
  <w:abstractNum w:abstractNumId="576">
    <w:lvl w:ilvl="0">
      <w:start w:val="1"/>
      <w:numFmt w:val="bullet"/>
      <w:lvlText w:val="•"/>
    </w:lvl>
  </w:abstractNum>
  <w:abstractNum w:abstractNumId="582">
    <w:lvl w:ilvl="0">
      <w:start w:val="1"/>
      <w:numFmt w:val="bullet"/>
      <w:lvlText w:val="•"/>
    </w:lvl>
  </w:abstractNum>
  <w:abstractNum w:abstractNumId="588">
    <w:lvl w:ilvl="0">
      <w:start w:val="1"/>
      <w:numFmt w:val="bullet"/>
      <w:lvlText w:val="•"/>
    </w:lvl>
  </w:abstractNum>
  <w:abstractNum w:abstractNumId="594">
    <w:lvl w:ilvl="0">
      <w:start w:val="1"/>
      <w:numFmt w:val="bullet"/>
      <w:lvlText w:val="•"/>
    </w:lvl>
  </w:abstractNum>
  <w:abstractNum w:abstractNumId="600">
    <w:lvl w:ilvl="0">
      <w:start w:val="1"/>
      <w:numFmt w:val="bullet"/>
      <w:lvlText w:val="•"/>
    </w:lvl>
  </w:abstractNum>
  <w:abstractNum w:abstractNumId="606">
    <w:lvl w:ilvl="0">
      <w:start w:val="1"/>
      <w:numFmt w:val="bullet"/>
      <w:lvlText w:val="•"/>
    </w:lvl>
  </w:abstractNum>
  <w:abstractNum w:abstractNumId="612">
    <w:lvl w:ilvl="0">
      <w:start w:val="1"/>
      <w:numFmt w:val="bullet"/>
      <w:lvlText w:val="•"/>
    </w:lvl>
  </w:abstractNum>
  <w:abstractNum w:abstractNumId="618">
    <w:lvl w:ilvl="0">
      <w:start w:val="1"/>
      <w:numFmt w:val="bullet"/>
      <w:lvlText w:val="•"/>
    </w:lvl>
  </w:abstractNum>
  <w:abstractNum w:abstractNumId="624">
    <w:lvl w:ilvl="0">
      <w:start w:val="1"/>
      <w:numFmt w:val="bullet"/>
      <w:lvlText w:val="•"/>
    </w:lvl>
  </w:abstractNum>
  <w:abstractNum w:abstractNumId="630">
    <w:lvl w:ilvl="0">
      <w:start w:val="1"/>
      <w:numFmt w:val="bullet"/>
      <w:lvlText w:val="•"/>
    </w:lvl>
  </w:abstractNum>
  <w:abstractNum w:abstractNumId="636">
    <w:lvl w:ilvl="0">
      <w:start w:val="1"/>
      <w:numFmt w:val="bullet"/>
      <w:lvlText w:val="•"/>
    </w:lvl>
  </w:abstractNum>
  <w:abstractNum w:abstractNumId="642">
    <w:lvl w:ilvl="0">
      <w:start w:val="1"/>
      <w:numFmt w:val="bullet"/>
      <w:lvlText w:val="•"/>
    </w:lvl>
  </w:abstractNum>
  <w:abstractNum w:abstractNumId="648">
    <w:lvl w:ilvl="0">
      <w:start w:val="1"/>
      <w:numFmt w:val="bullet"/>
      <w:lvlText w:val="•"/>
    </w:lvl>
  </w:abstractNum>
  <w:abstractNum w:abstractNumId="654">
    <w:lvl w:ilvl="0">
      <w:start w:val="1"/>
      <w:numFmt w:val="bullet"/>
      <w:lvlText w:val="•"/>
    </w:lvl>
  </w:abstractNum>
  <w:abstractNum w:abstractNumId="660">
    <w:lvl w:ilvl="0">
      <w:start w:val="1"/>
      <w:numFmt w:val="bullet"/>
      <w:lvlText w:val="•"/>
    </w:lvl>
  </w:abstractNum>
  <w:abstractNum w:abstractNumId="666">
    <w:lvl w:ilvl="0">
      <w:start w:val="1"/>
      <w:numFmt w:val="bullet"/>
      <w:lvlText w:val="•"/>
    </w:lvl>
  </w:abstractNum>
  <w:abstractNum w:abstractNumId="672">
    <w:lvl w:ilvl="0">
      <w:start w:val="1"/>
      <w:numFmt w:val="bullet"/>
      <w:lvlText w:val="•"/>
    </w:lvl>
  </w:abstractNum>
  <w:abstractNum w:abstractNumId="678">
    <w:lvl w:ilvl="0">
      <w:start w:val="1"/>
      <w:numFmt w:val="bullet"/>
      <w:lvlText w:val="•"/>
    </w:lvl>
  </w:abstractNum>
  <w:abstractNum w:abstractNumId="684">
    <w:lvl w:ilvl="0">
      <w:start w:val="1"/>
      <w:numFmt w:val="bullet"/>
      <w:lvlText w:val="•"/>
    </w:lvl>
  </w:abstractNum>
  <w:abstractNum w:abstractNumId="690">
    <w:lvl w:ilvl="0">
      <w:start w:val="1"/>
      <w:numFmt w:val="bullet"/>
      <w:lvlText w:val="•"/>
    </w:lvl>
  </w:abstractNum>
  <w:abstractNum w:abstractNumId="696">
    <w:lvl w:ilvl="0">
      <w:start w:val="1"/>
      <w:numFmt w:val="bullet"/>
      <w:lvlText w:val="•"/>
    </w:lvl>
  </w:abstractNum>
  <w:abstractNum w:abstractNumId="702">
    <w:lvl w:ilvl="0">
      <w:start w:val="1"/>
      <w:numFmt w:val="bullet"/>
      <w:lvlText w:val="•"/>
    </w:lvl>
  </w:abstractNum>
  <w:abstractNum w:abstractNumId="708">
    <w:lvl w:ilvl="0">
      <w:start w:val="1"/>
      <w:numFmt w:val="bullet"/>
      <w:lvlText w:val="•"/>
    </w:lvl>
  </w:abstractNum>
  <w:abstractNum w:abstractNumId="714">
    <w:lvl w:ilvl="0">
      <w:start w:val="1"/>
      <w:numFmt w:val="bullet"/>
      <w:lvlText w:val="•"/>
    </w:lvl>
  </w:abstractNum>
  <w:abstractNum w:abstractNumId="720">
    <w:lvl w:ilvl="0">
      <w:start w:val="1"/>
      <w:numFmt w:val="bullet"/>
      <w:lvlText w:val="•"/>
    </w:lvl>
  </w:abstractNum>
  <w:abstractNum w:abstractNumId="726">
    <w:lvl w:ilvl="0">
      <w:start w:val="1"/>
      <w:numFmt w:val="bullet"/>
      <w:lvlText w:val="•"/>
    </w:lvl>
  </w:abstractNum>
  <w:abstractNum w:abstractNumId="732">
    <w:lvl w:ilvl="0">
      <w:start w:val="1"/>
      <w:numFmt w:val="bullet"/>
      <w:lvlText w:val="•"/>
    </w:lvl>
  </w:abstractNum>
  <w:abstractNum w:abstractNumId="738">
    <w:lvl w:ilvl="0">
      <w:start w:val="1"/>
      <w:numFmt w:val="bullet"/>
      <w:lvlText w:val="•"/>
    </w:lvl>
  </w:abstractNum>
  <w:abstractNum w:abstractNumId="744">
    <w:lvl w:ilvl="0">
      <w:start w:val="1"/>
      <w:numFmt w:val="bullet"/>
      <w:lvlText w:val="•"/>
    </w:lvl>
  </w:abstractNum>
  <w:abstractNum w:abstractNumId="750">
    <w:lvl w:ilvl="0">
      <w:start w:val="1"/>
      <w:numFmt w:val="bullet"/>
      <w:lvlText w:val="•"/>
    </w:lvl>
  </w:abstractNum>
  <w:num w:numId="2">
    <w:abstractNumId w:val="750"/>
  </w:num>
  <w:num w:numId="7">
    <w:abstractNumId w:val="744"/>
  </w:num>
  <w:num w:numId="9">
    <w:abstractNumId w:val="738"/>
  </w:num>
  <w:num w:numId="11">
    <w:abstractNumId w:val="732"/>
  </w:num>
  <w:num w:numId="13">
    <w:abstractNumId w:val="726"/>
  </w:num>
  <w:num w:numId="15">
    <w:abstractNumId w:val="720"/>
  </w:num>
  <w:num w:numId="19">
    <w:abstractNumId w:val="714"/>
  </w:num>
  <w:num w:numId="21">
    <w:abstractNumId w:val="708"/>
  </w:num>
  <w:num w:numId="23">
    <w:abstractNumId w:val="702"/>
  </w:num>
  <w:num w:numId="25">
    <w:abstractNumId w:val="696"/>
  </w:num>
  <w:num w:numId="27">
    <w:abstractNumId w:val="690"/>
  </w:num>
  <w:num w:numId="29">
    <w:abstractNumId w:val="684"/>
  </w:num>
  <w:num w:numId="32">
    <w:abstractNumId w:val="678"/>
  </w:num>
  <w:num w:numId="35">
    <w:abstractNumId w:val="672"/>
  </w:num>
  <w:num w:numId="37">
    <w:abstractNumId w:val="666"/>
  </w:num>
  <w:num w:numId="39">
    <w:abstractNumId w:val="660"/>
  </w:num>
  <w:num w:numId="41">
    <w:abstractNumId w:val="654"/>
  </w:num>
  <w:num w:numId="43">
    <w:abstractNumId w:val="648"/>
  </w:num>
  <w:num w:numId="45">
    <w:abstractNumId w:val="642"/>
  </w:num>
  <w:num w:numId="47">
    <w:abstractNumId w:val="636"/>
  </w:num>
  <w:num w:numId="49">
    <w:abstractNumId w:val="630"/>
  </w:num>
  <w:num w:numId="51">
    <w:abstractNumId w:val="624"/>
  </w:num>
  <w:num w:numId="53">
    <w:abstractNumId w:val="618"/>
  </w:num>
  <w:num w:numId="55">
    <w:abstractNumId w:val="612"/>
  </w:num>
  <w:num w:numId="57">
    <w:abstractNumId w:val="606"/>
  </w:num>
  <w:num w:numId="60">
    <w:abstractNumId w:val="600"/>
  </w:num>
  <w:num w:numId="62">
    <w:abstractNumId w:val="594"/>
  </w:num>
  <w:num w:numId="64">
    <w:abstractNumId w:val="588"/>
  </w:num>
  <w:num w:numId="66">
    <w:abstractNumId w:val="582"/>
  </w:num>
  <w:num w:numId="69">
    <w:abstractNumId w:val="576"/>
  </w:num>
  <w:num w:numId="71">
    <w:abstractNumId w:val="570"/>
  </w:num>
  <w:num w:numId="73">
    <w:abstractNumId w:val="564"/>
  </w:num>
  <w:num w:numId="77">
    <w:abstractNumId w:val="558"/>
  </w:num>
  <w:num w:numId="79">
    <w:abstractNumId w:val="552"/>
  </w:num>
  <w:num w:numId="81">
    <w:abstractNumId w:val="546"/>
  </w:num>
  <w:num w:numId="83">
    <w:abstractNumId w:val="540"/>
  </w:num>
  <w:num w:numId="85">
    <w:abstractNumId w:val="534"/>
  </w:num>
  <w:num w:numId="87">
    <w:abstractNumId w:val="528"/>
  </w:num>
  <w:num w:numId="89">
    <w:abstractNumId w:val="522"/>
  </w:num>
  <w:num w:numId="91">
    <w:abstractNumId w:val="516"/>
  </w:num>
  <w:num w:numId="94">
    <w:abstractNumId w:val="510"/>
  </w:num>
  <w:num w:numId="97">
    <w:abstractNumId w:val="504"/>
  </w:num>
  <w:num w:numId="99">
    <w:abstractNumId w:val="498"/>
  </w:num>
  <w:num w:numId="101">
    <w:abstractNumId w:val="492"/>
  </w:num>
  <w:num w:numId="104">
    <w:abstractNumId w:val="486"/>
  </w:num>
  <w:num w:numId="106">
    <w:abstractNumId w:val="480"/>
  </w:num>
  <w:num w:numId="109">
    <w:abstractNumId w:val="474"/>
  </w:num>
  <w:num w:numId="111">
    <w:abstractNumId w:val="468"/>
  </w:num>
  <w:num w:numId="113">
    <w:abstractNumId w:val="462"/>
  </w:num>
  <w:num w:numId="115">
    <w:abstractNumId w:val="456"/>
  </w:num>
  <w:num w:numId="117">
    <w:abstractNumId w:val="450"/>
  </w:num>
  <w:num w:numId="119">
    <w:abstractNumId w:val="444"/>
  </w:num>
  <w:num w:numId="121">
    <w:abstractNumId w:val="438"/>
  </w:num>
  <w:num w:numId="123">
    <w:abstractNumId w:val="432"/>
  </w:num>
  <w:num w:numId="125">
    <w:abstractNumId w:val="426"/>
  </w:num>
  <w:num w:numId="127">
    <w:abstractNumId w:val="420"/>
  </w:num>
  <w:num w:numId="129">
    <w:abstractNumId w:val="414"/>
  </w:num>
  <w:num w:numId="131">
    <w:abstractNumId w:val="408"/>
  </w:num>
  <w:num w:numId="133">
    <w:abstractNumId w:val="402"/>
  </w:num>
  <w:num w:numId="135">
    <w:abstractNumId w:val="396"/>
  </w:num>
  <w:num w:numId="138">
    <w:abstractNumId w:val="390"/>
  </w:num>
  <w:num w:numId="140">
    <w:abstractNumId w:val="384"/>
  </w:num>
  <w:num w:numId="142">
    <w:abstractNumId w:val="378"/>
  </w:num>
  <w:num w:numId="146">
    <w:abstractNumId w:val="372"/>
  </w:num>
  <w:num w:numId="149">
    <w:abstractNumId w:val="366"/>
  </w:num>
  <w:num w:numId="151">
    <w:abstractNumId w:val="360"/>
  </w:num>
  <w:num w:numId="153">
    <w:abstractNumId w:val="354"/>
  </w:num>
  <w:num w:numId="155">
    <w:abstractNumId w:val="348"/>
  </w:num>
  <w:num w:numId="158">
    <w:abstractNumId w:val="342"/>
  </w:num>
  <w:num w:numId="161">
    <w:abstractNumId w:val="336"/>
  </w:num>
  <w:num w:numId="164">
    <w:abstractNumId w:val="330"/>
  </w:num>
  <w:num w:numId="166">
    <w:abstractNumId w:val="324"/>
  </w:num>
  <w:num w:numId="169">
    <w:abstractNumId w:val="318"/>
  </w:num>
  <w:num w:numId="171">
    <w:abstractNumId w:val="312"/>
  </w:num>
  <w:num w:numId="173">
    <w:abstractNumId w:val="306"/>
  </w:num>
  <w:num w:numId="175">
    <w:abstractNumId w:val="300"/>
  </w:num>
  <w:num w:numId="180">
    <w:abstractNumId w:val="294"/>
  </w:num>
  <w:num w:numId="182">
    <w:abstractNumId w:val="288"/>
  </w:num>
  <w:num w:numId="184">
    <w:abstractNumId w:val="282"/>
  </w:num>
  <w:num w:numId="186">
    <w:abstractNumId w:val="276"/>
  </w:num>
  <w:num w:numId="188">
    <w:abstractNumId w:val="270"/>
  </w:num>
  <w:num w:numId="190">
    <w:abstractNumId w:val="264"/>
  </w:num>
  <w:num w:numId="192">
    <w:abstractNumId w:val="258"/>
  </w:num>
  <w:num w:numId="194">
    <w:abstractNumId w:val="252"/>
  </w:num>
  <w:num w:numId="197">
    <w:abstractNumId w:val="246"/>
  </w:num>
  <w:num w:numId="199">
    <w:abstractNumId w:val="240"/>
  </w:num>
  <w:num w:numId="201">
    <w:abstractNumId w:val="234"/>
  </w:num>
  <w:num w:numId="205">
    <w:abstractNumId w:val="228"/>
  </w:num>
  <w:num w:numId="213">
    <w:abstractNumId w:val="222"/>
  </w:num>
  <w:num w:numId="215">
    <w:abstractNumId w:val="216"/>
  </w:num>
  <w:num w:numId="218">
    <w:abstractNumId w:val="210"/>
  </w:num>
  <w:num w:numId="221">
    <w:abstractNumId w:val="204"/>
  </w:num>
  <w:num w:numId="223">
    <w:abstractNumId w:val="198"/>
  </w:num>
  <w:num w:numId="225">
    <w:abstractNumId w:val="192"/>
  </w:num>
  <w:num w:numId="228">
    <w:abstractNumId w:val="186"/>
  </w:num>
  <w:num w:numId="230">
    <w:abstractNumId w:val="180"/>
  </w:num>
  <w:num w:numId="232">
    <w:abstractNumId w:val="174"/>
  </w:num>
  <w:num w:numId="234">
    <w:abstractNumId w:val="168"/>
  </w:num>
  <w:num w:numId="236">
    <w:abstractNumId w:val="162"/>
  </w:num>
  <w:num w:numId="238">
    <w:abstractNumId w:val="156"/>
  </w:num>
  <w:num w:numId="240">
    <w:abstractNumId w:val="150"/>
  </w:num>
  <w:num w:numId="242">
    <w:abstractNumId w:val="144"/>
  </w:num>
  <w:num w:numId="244">
    <w:abstractNumId w:val="138"/>
  </w:num>
  <w:num w:numId="246">
    <w:abstractNumId w:val="132"/>
  </w:num>
  <w:num w:numId="248">
    <w:abstractNumId w:val="126"/>
  </w:num>
  <w:num w:numId="250">
    <w:abstractNumId w:val="120"/>
  </w:num>
  <w:num w:numId="253">
    <w:abstractNumId w:val="114"/>
  </w:num>
  <w:num w:numId="255">
    <w:abstractNumId w:val="108"/>
  </w:num>
  <w:num w:numId="258">
    <w:abstractNumId w:val="102"/>
  </w:num>
  <w:num w:numId="260">
    <w:abstractNumId w:val="96"/>
  </w:num>
  <w:num w:numId="262">
    <w:abstractNumId w:val="90"/>
  </w:num>
  <w:num w:numId="264">
    <w:abstractNumId w:val="84"/>
  </w:num>
  <w:num w:numId="266">
    <w:abstractNumId w:val="78"/>
  </w:num>
  <w:num w:numId="268">
    <w:abstractNumId w:val="72"/>
  </w:num>
  <w:num w:numId="272">
    <w:abstractNumId w:val="66"/>
  </w:num>
  <w:num w:numId="274">
    <w:abstractNumId w:val="60"/>
  </w:num>
  <w:num w:numId="277">
    <w:abstractNumId w:val="54"/>
  </w:num>
  <w:num w:numId="279">
    <w:abstractNumId w:val="48"/>
  </w:num>
  <w:num w:numId="281">
    <w:abstractNumId w:val="42"/>
  </w:num>
  <w:num w:numId="283">
    <w:abstractNumId w:val="36"/>
  </w:num>
  <w:num w:numId="285">
    <w:abstractNumId w:val="30"/>
  </w:num>
  <w:num w:numId="287">
    <w:abstractNumId w:val="24"/>
  </w:num>
  <w:num w:numId="289">
    <w:abstractNumId w:val="18"/>
  </w:num>
  <w:num w:numId="291">
    <w:abstractNumId w:val="12"/>
  </w:num>
  <w:num w:numId="294">
    <w:abstractNumId w:val="6"/>
  </w:num>
  <w:num w:numId="29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media/image16.wmf" Id="docRId34"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14.bin" Id="docRId29" Type="http://schemas.openxmlformats.org/officeDocument/2006/relationships/oleObject" /><Relationship Target="media/image17.wmf" Id="docRId36"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Mode="External" Target="http://www.sante.gouv.fr/IMG/pdf/331_annexe_certifs_medicaux.pdf" Id="docRId28" Type="http://schemas.openxmlformats.org/officeDocument/2006/relationships/hyperlink" /><Relationship Target="media/image1.wmf" Id="docRId3" Type="http://schemas.openxmlformats.org/officeDocument/2006/relationships/image" /><Relationship Target="embeddings/oleObject18.bin" Id="docRId37" Type="http://schemas.openxmlformats.org/officeDocument/2006/relationships/oleObject" /><Relationship Target="media/image19.wmf" Id="docRId40"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media/image14.wmf" Id="docRId30" Type="http://schemas.openxmlformats.org/officeDocument/2006/relationships/image" /><Relationship Target="media/image18.wmf" Id="docRId38" Type="http://schemas.openxmlformats.org/officeDocument/2006/relationships/image" /><Relationship Target="numbering.xml" Id="docRId43" Type="http://schemas.openxmlformats.org/officeDocument/2006/relationships/numbering"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embeddings/oleObject15.bin" Id="docRId31" Type="http://schemas.openxmlformats.org/officeDocument/2006/relationships/oleObject" /><Relationship Target="embeddings/oleObject19.bin" Id="docRId39" Type="http://schemas.openxmlformats.org/officeDocument/2006/relationships/oleObject" /><Relationship Target="media/image20.wmf" Id="docRId42" Type="http://schemas.openxmlformats.org/officeDocument/2006/relationships/image"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media/image15.wmf" Id="docRId32" Type="http://schemas.openxmlformats.org/officeDocument/2006/relationships/image"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16.bin" Id="docRId33" Type="http://schemas.openxmlformats.org/officeDocument/2006/relationships/oleObject" /><Relationship Target="styles.xml" Id="docRId44" Type="http://schemas.openxmlformats.org/officeDocument/2006/relationships/styles"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7.bin" Id="docRId35"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20.bin" Id="docRId41" Type="http://schemas.openxmlformats.org/officeDocument/2006/relationships/oleObject" /><Relationship Target="embeddings/oleObject4.bin" Id="docRId8" Type="http://schemas.openxmlformats.org/officeDocument/2006/relationships/oleObject" /></Relationships>
</file>